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rsidTr="002834B6">
        <w:trPr>
          <w:trHeight w:hRule="exact" w:val="851"/>
        </w:trPr>
        <w:tc>
          <w:tcPr>
            <w:tcW w:w="1276" w:type="dxa"/>
            <w:tcBorders>
              <w:bottom w:val="single" w:sz="4" w:space="0" w:color="auto"/>
            </w:tcBorders>
            <w:vAlign w:val="bottom"/>
          </w:tcPr>
          <w:p w:rsidR="00B56E9C" w:rsidRDefault="00B56E9C" w:rsidP="00B6553F">
            <w:pPr>
              <w:spacing w:after="80"/>
            </w:pPr>
          </w:p>
        </w:tc>
        <w:tc>
          <w:tcPr>
            <w:tcW w:w="1985"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rsidR="00B56E9C" w:rsidRPr="00D47EEA" w:rsidRDefault="002151CB" w:rsidP="00D43135">
            <w:pPr>
              <w:jc w:val="right"/>
            </w:pPr>
            <w:r w:rsidRPr="002151CB">
              <w:rPr>
                <w:sz w:val="40"/>
              </w:rPr>
              <w:t>CAT</w:t>
            </w:r>
            <w:r>
              <w:t>/C/SRB/CO/2</w:t>
            </w:r>
            <w:r w:rsidR="005B7CE0" w:rsidRPr="004B4D1E">
              <w:rPr>
                <w:rStyle w:val="FootnoteReference"/>
                <w:sz w:val="20"/>
                <w:vertAlign w:val="baseline"/>
              </w:rPr>
              <w:footnoteReference w:customMarkFollows="1" w:id="2"/>
              <w:t>*</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8F7D02" w:rsidP="00B6553F">
            <w:pPr>
              <w:spacing w:before="120"/>
            </w:pPr>
            <w:r>
              <w:rPr>
                <w:noProof/>
                <w:lang w:val="en-US"/>
              </w:rPr>
              <w:drawing>
                <wp:inline distT="0" distB="0" distL="0" distR="0" wp14:anchorId="183EE7B5" wp14:editId="404BCC51">
                  <wp:extent cx="708660" cy="59436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866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rsidR="00B56E9C" w:rsidRDefault="002151CB" w:rsidP="002151CB">
            <w:pPr>
              <w:spacing w:before="240" w:line="240" w:lineRule="exact"/>
            </w:pPr>
            <w:r>
              <w:t xml:space="preserve">Distr.: </w:t>
            </w:r>
            <w:r w:rsidR="00D43135">
              <w:t>General</w:t>
            </w:r>
          </w:p>
          <w:p w:rsidR="002151CB" w:rsidRDefault="00A66725" w:rsidP="00131894">
            <w:pPr>
              <w:spacing w:line="240" w:lineRule="exact"/>
            </w:pPr>
            <w:r>
              <w:t xml:space="preserve">3 </w:t>
            </w:r>
            <w:r w:rsidR="00131894">
              <w:t>June</w:t>
            </w:r>
            <w:r w:rsidR="00D43135">
              <w:t xml:space="preserve"> </w:t>
            </w:r>
            <w:r w:rsidR="002151CB">
              <w:t>2015</w:t>
            </w:r>
          </w:p>
          <w:p w:rsidR="002151CB" w:rsidRDefault="002151CB" w:rsidP="002151CB">
            <w:pPr>
              <w:spacing w:line="240" w:lineRule="exact"/>
            </w:pPr>
          </w:p>
          <w:p w:rsidR="002151CB" w:rsidRDefault="002151CB" w:rsidP="002151CB">
            <w:pPr>
              <w:spacing w:line="240" w:lineRule="exact"/>
            </w:pPr>
            <w:r>
              <w:t>Original: English</w:t>
            </w:r>
          </w:p>
          <w:p w:rsidR="002151CB" w:rsidRDefault="002151CB" w:rsidP="002151CB">
            <w:pPr>
              <w:spacing w:line="240" w:lineRule="exact"/>
            </w:pPr>
          </w:p>
        </w:tc>
      </w:tr>
    </w:tbl>
    <w:p w:rsidR="002151CB" w:rsidRPr="00D0401A" w:rsidRDefault="002151CB" w:rsidP="00D0401A">
      <w:pPr>
        <w:spacing w:before="120"/>
        <w:rPr>
          <w:b/>
          <w:sz w:val="24"/>
          <w:szCs w:val="24"/>
        </w:rPr>
      </w:pPr>
      <w:r w:rsidRPr="00D0401A">
        <w:rPr>
          <w:b/>
          <w:sz w:val="24"/>
          <w:szCs w:val="24"/>
        </w:rPr>
        <w:t>Committee against Torture</w:t>
      </w:r>
    </w:p>
    <w:p w:rsidR="00442A83" w:rsidRDefault="002151CB" w:rsidP="000844A5">
      <w:pPr>
        <w:pStyle w:val="HChG"/>
      </w:pPr>
      <w:r>
        <w:tab/>
      </w:r>
      <w:r>
        <w:tab/>
      </w:r>
      <w:r w:rsidR="00613717" w:rsidRPr="00613717">
        <w:t>Concluding observations on the second periodic report</w:t>
      </w:r>
      <w:r w:rsidR="00613717">
        <w:t xml:space="preserve"> of Serbia</w:t>
      </w:r>
      <w:r w:rsidR="00D43135" w:rsidRPr="00D0401A">
        <w:rPr>
          <w:rStyle w:val="FootnoteReference"/>
          <w:b w:val="0"/>
          <w:bCs/>
          <w:sz w:val="20"/>
          <w:vertAlign w:val="baseline"/>
        </w:rPr>
        <w:footnoteReference w:customMarkFollows="1" w:id="3"/>
        <w:t>*</w:t>
      </w:r>
      <w:r w:rsidR="005B7CE0">
        <w:rPr>
          <w:b w:val="0"/>
          <w:bCs/>
          <w:sz w:val="20"/>
        </w:rPr>
        <w:t>*</w:t>
      </w:r>
    </w:p>
    <w:p w:rsidR="00A55DB2" w:rsidRPr="00D14DD7" w:rsidRDefault="004F246E" w:rsidP="004F246E">
      <w:pPr>
        <w:pStyle w:val="SingleTxtG"/>
        <w:rPr>
          <w:lang w:eastAsia="en-GB"/>
        </w:rPr>
      </w:pPr>
      <w:r w:rsidRPr="00D14DD7">
        <w:rPr>
          <w:lang w:eastAsia="en-GB"/>
        </w:rPr>
        <w:t>1.</w:t>
      </w:r>
      <w:r w:rsidRPr="00D14DD7">
        <w:rPr>
          <w:lang w:eastAsia="en-GB"/>
        </w:rPr>
        <w:tab/>
      </w:r>
      <w:r w:rsidR="00A55DB2" w:rsidRPr="00D14DD7">
        <w:rPr>
          <w:lang w:eastAsia="en-GB"/>
        </w:rPr>
        <w:t xml:space="preserve">The Committee against Torture considered the second periodic report of Serbia (CAT/C/SRB/2) at its </w:t>
      </w:r>
      <w:r w:rsidR="00A55DB2" w:rsidRPr="00D0401A">
        <w:rPr>
          <w:lang w:eastAsia="en-GB"/>
        </w:rPr>
        <w:t>1304</w:t>
      </w:r>
      <w:r w:rsidR="00A55DB2" w:rsidRPr="00051AD9">
        <w:rPr>
          <w:lang w:eastAsia="en-GB"/>
        </w:rPr>
        <w:t>th</w:t>
      </w:r>
      <w:r w:rsidR="00A55DB2" w:rsidRPr="00D0401A">
        <w:rPr>
          <w:lang w:eastAsia="en-GB"/>
        </w:rPr>
        <w:t xml:space="preserve"> and 1307</w:t>
      </w:r>
      <w:r w:rsidR="00A55DB2" w:rsidRPr="00051AD9">
        <w:rPr>
          <w:lang w:eastAsia="en-GB"/>
        </w:rPr>
        <w:t>th</w:t>
      </w:r>
      <w:r w:rsidR="00A55DB2" w:rsidRPr="00D0401A">
        <w:rPr>
          <w:lang w:eastAsia="en-GB"/>
        </w:rPr>
        <w:t xml:space="preserve"> meetings, held on 29 and 30 April 2015 (</w:t>
      </w:r>
      <w:r w:rsidR="00D82893">
        <w:rPr>
          <w:lang w:eastAsia="en-GB"/>
        </w:rPr>
        <w:t xml:space="preserve">see </w:t>
      </w:r>
      <w:r w:rsidR="00A55DB2" w:rsidRPr="00D0401A">
        <w:rPr>
          <w:lang w:eastAsia="en-GB"/>
        </w:rPr>
        <w:t xml:space="preserve">CAT/C/SR.1304 and 1307), and adopted the following concluding observations at its </w:t>
      </w:r>
      <w:r w:rsidR="0076408B" w:rsidRPr="00D0401A">
        <w:rPr>
          <w:lang w:eastAsia="en-GB"/>
        </w:rPr>
        <w:t>1322</w:t>
      </w:r>
      <w:r w:rsidR="0076408B" w:rsidRPr="00051AD9">
        <w:rPr>
          <w:lang w:eastAsia="en-GB"/>
        </w:rPr>
        <w:t>nd</w:t>
      </w:r>
      <w:r w:rsidR="0076408B" w:rsidRPr="00D0401A">
        <w:rPr>
          <w:lang w:eastAsia="en-GB"/>
        </w:rPr>
        <w:t xml:space="preserve"> and 1323</w:t>
      </w:r>
      <w:r w:rsidR="0076408B" w:rsidRPr="00051AD9">
        <w:rPr>
          <w:lang w:eastAsia="en-GB"/>
        </w:rPr>
        <w:t>rd</w:t>
      </w:r>
      <w:r w:rsidR="008D783D">
        <w:rPr>
          <w:lang w:eastAsia="en-GB"/>
        </w:rPr>
        <w:t xml:space="preserve"> </w:t>
      </w:r>
      <w:r w:rsidR="00A55DB2" w:rsidRPr="00D14DD7">
        <w:rPr>
          <w:lang w:eastAsia="en-GB"/>
        </w:rPr>
        <w:t>meeting</w:t>
      </w:r>
      <w:r w:rsidR="0076408B">
        <w:rPr>
          <w:lang w:eastAsia="en-GB"/>
        </w:rPr>
        <w:t>s</w:t>
      </w:r>
      <w:r w:rsidR="00D92A03">
        <w:rPr>
          <w:lang w:eastAsia="en-GB"/>
        </w:rPr>
        <w:t>,</w:t>
      </w:r>
      <w:r w:rsidR="0076408B">
        <w:rPr>
          <w:lang w:eastAsia="en-GB"/>
        </w:rPr>
        <w:t xml:space="preserve"> </w:t>
      </w:r>
      <w:r w:rsidR="00A55DB2" w:rsidRPr="00D14DD7">
        <w:rPr>
          <w:lang w:eastAsia="en-GB"/>
        </w:rPr>
        <w:t xml:space="preserve">held on </w:t>
      </w:r>
      <w:r w:rsidR="0076408B">
        <w:rPr>
          <w:lang w:eastAsia="en-GB"/>
        </w:rPr>
        <w:t>12 May 2015</w:t>
      </w:r>
      <w:r w:rsidR="00A55DB2" w:rsidRPr="00D14DD7">
        <w:rPr>
          <w:lang w:eastAsia="en-GB"/>
        </w:rPr>
        <w:t xml:space="preserve">. </w:t>
      </w:r>
    </w:p>
    <w:p w:rsidR="00A55DB2" w:rsidRPr="00D14DD7" w:rsidRDefault="00A55DB2" w:rsidP="00A55DB2">
      <w:pPr>
        <w:pStyle w:val="H1G"/>
      </w:pPr>
      <w:r w:rsidRPr="00D14DD7">
        <w:tab/>
        <w:t>A.</w:t>
      </w:r>
      <w:r w:rsidRPr="00D14DD7">
        <w:tab/>
        <w:t>Introduction</w:t>
      </w:r>
    </w:p>
    <w:p w:rsidR="00A55DB2" w:rsidRPr="00D14DD7" w:rsidRDefault="004F246E" w:rsidP="004F246E">
      <w:pPr>
        <w:pStyle w:val="SingleTxtG"/>
        <w:rPr>
          <w:lang w:eastAsia="en-GB"/>
        </w:rPr>
      </w:pPr>
      <w:r w:rsidRPr="00D14DD7">
        <w:rPr>
          <w:lang w:eastAsia="en-GB"/>
        </w:rPr>
        <w:t>2.</w:t>
      </w:r>
      <w:r w:rsidRPr="00D14DD7">
        <w:rPr>
          <w:lang w:eastAsia="en-GB"/>
        </w:rPr>
        <w:tab/>
      </w:r>
      <w:r w:rsidR="00A55DB2" w:rsidRPr="00D14DD7">
        <w:rPr>
          <w:lang w:eastAsia="en-GB"/>
        </w:rPr>
        <w:t>The Committee expresses its appreciation to the State party for accepting the optional reporting procedure</w:t>
      </w:r>
      <w:r w:rsidR="00624996">
        <w:rPr>
          <w:lang w:eastAsia="en-GB"/>
        </w:rPr>
        <w:t>,</w:t>
      </w:r>
      <w:r w:rsidR="00A55DB2" w:rsidRPr="00D14DD7">
        <w:rPr>
          <w:lang w:eastAsia="en-GB"/>
        </w:rPr>
        <w:t xml:space="preserve"> </w:t>
      </w:r>
      <w:r w:rsidR="00A55DB2" w:rsidRPr="00624996">
        <w:rPr>
          <w:lang w:eastAsia="en-GB"/>
        </w:rPr>
        <w:t xml:space="preserve">as it improves the cooperation </w:t>
      </w:r>
      <w:r w:rsidR="00624996">
        <w:rPr>
          <w:lang w:eastAsia="en-GB"/>
        </w:rPr>
        <w:t>between</w:t>
      </w:r>
      <w:r w:rsidR="00A55DB2" w:rsidRPr="00624996">
        <w:rPr>
          <w:lang w:eastAsia="en-GB"/>
        </w:rPr>
        <w:t xml:space="preserve"> the State part</w:t>
      </w:r>
      <w:r w:rsidR="00A55DB2" w:rsidRPr="00D14DD7">
        <w:rPr>
          <w:lang w:eastAsia="en-GB"/>
        </w:rPr>
        <w:t>y</w:t>
      </w:r>
      <w:r w:rsidR="00624996">
        <w:rPr>
          <w:lang w:eastAsia="en-GB"/>
        </w:rPr>
        <w:t xml:space="preserve"> and the Committee</w:t>
      </w:r>
      <w:r w:rsidR="00A55DB2" w:rsidRPr="00D14DD7">
        <w:rPr>
          <w:lang w:eastAsia="en-GB"/>
        </w:rPr>
        <w:t xml:space="preserve">. </w:t>
      </w:r>
    </w:p>
    <w:p w:rsidR="0076408B" w:rsidRDefault="004F246E" w:rsidP="004F246E">
      <w:pPr>
        <w:pStyle w:val="SingleTxtG"/>
        <w:rPr>
          <w:lang w:eastAsia="en-GB"/>
        </w:rPr>
      </w:pPr>
      <w:r>
        <w:rPr>
          <w:lang w:eastAsia="en-GB"/>
        </w:rPr>
        <w:t>3.</w:t>
      </w:r>
      <w:r>
        <w:rPr>
          <w:lang w:eastAsia="en-GB"/>
        </w:rPr>
        <w:tab/>
      </w:r>
      <w:r w:rsidR="00A55DB2" w:rsidRPr="00D14DD7">
        <w:rPr>
          <w:lang w:eastAsia="en-GB"/>
        </w:rPr>
        <w:t xml:space="preserve">The Committee also </w:t>
      </w:r>
      <w:r w:rsidR="00A55DB2" w:rsidRPr="000A4E6C">
        <w:rPr>
          <w:lang w:eastAsia="en-GB"/>
        </w:rPr>
        <w:t>appreciates the high</w:t>
      </w:r>
      <w:r w:rsidR="00E5544A">
        <w:rPr>
          <w:lang w:eastAsia="en-GB"/>
        </w:rPr>
        <w:t xml:space="preserve"> </w:t>
      </w:r>
      <w:r w:rsidR="00A55DB2" w:rsidRPr="000A4E6C">
        <w:rPr>
          <w:lang w:eastAsia="en-GB"/>
        </w:rPr>
        <w:t>level</w:t>
      </w:r>
      <w:r w:rsidR="00E5544A">
        <w:rPr>
          <w:lang w:eastAsia="en-GB"/>
        </w:rPr>
        <w:t xml:space="preserve"> </w:t>
      </w:r>
      <w:r w:rsidR="00A55DB2" w:rsidRPr="000A4E6C">
        <w:rPr>
          <w:lang w:eastAsia="en-GB"/>
        </w:rPr>
        <w:t xml:space="preserve">delegation </w:t>
      </w:r>
      <w:r w:rsidR="00A55DB2" w:rsidRPr="00F70876">
        <w:rPr>
          <w:lang w:eastAsia="en-GB"/>
        </w:rPr>
        <w:t>of</w:t>
      </w:r>
      <w:r w:rsidR="00A55DB2" w:rsidRPr="00D14DD7">
        <w:rPr>
          <w:lang w:eastAsia="en-GB"/>
        </w:rPr>
        <w:t xml:space="preserve"> the State party, </w:t>
      </w:r>
      <w:r w:rsidR="00624996">
        <w:rPr>
          <w:lang w:eastAsia="en-GB"/>
        </w:rPr>
        <w:t>and</w:t>
      </w:r>
      <w:r w:rsidR="00A55DB2" w:rsidRPr="00D14DD7">
        <w:rPr>
          <w:lang w:eastAsia="en-GB"/>
        </w:rPr>
        <w:t xml:space="preserve"> the additional oral and written information provided by the representatives of the State party to questions raised and concerns expressed during the consideration of the report.</w:t>
      </w:r>
    </w:p>
    <w:p w:rsidR="008D783D" w:rsidRPr="00D0401A" w:rsidRDefault="004F246E" w:rsidP="004F246E">
      <w:pPr>
        <w:pStyle w:val="SingleTxtG"/>
        <w:rPr>
          <w:lang w:eastAsia="en-GB"/>
        </w:rPr>
      </w:pPr>
      <w:r w:rsidRPr="00D0401A">
        <w:rPr>
          <w:lang w:eastAsia="en-GB"/>
        </w:rPr>
        <w:t>4.</w:t>
      </w:r>
      <w:r w:rsidRPr="00D0401A">
        <w:rPr>
          <w:lang w:eastAsia="en-GB"/>
        </w:rPr>
        <w:tab/>
      </w:r>
      <w:r w:rsidR="0076408B" w:rsidRPr="00D14DD7">
        <w:t>The Committee recalls its previous concluding observations (</w:t>
      </w:r>
      <w:r w:rsidR="00624996">
        <w:t xml:space="preserve">see </w:t>
      </w:r>
      <w:r w:rsidR="0076408B" w:rsidRPr="00D14DD7">
        <w:t>CAT/C/SRB/CO/1, para.</w:t>
      </w:r>
      <w:r w:rsidR="00282F5C">
        <w:t> </w:t>
      </w:r>
      <w:r w:rsidR="0076408B" w:rsidRPr="00D14DD7">
        <w:t>22)</w:t>
      </w:r>
      <w:r w:rsidR="0076408B" w:rsidRPr="00051AD9">
        <w:rPr>
          <w:bCs/>
        </w:rPr>
        <w:t xml:space="preserve"> </w:t>
      </w:r>
      <w:r w:rsidR="0076408B" w:rsidRPr="00D14DD7">
        <w:t xml:space="preserve">and notes that the State party continues to </w:t>
      </w:r>
      <w:r w:rsidR="0076408B">
        <w:t>declare</w:t>
      </w:r>
      <w:r w:rsidR="0076408B" w:rsidRPr="00D14DD7">
        <w:t xml:space="preserve"> that it is unable to monitor the application of the Convention in Kosovo owing to the fact that</w:t>
      </w:r>
      <w:r w:rsidR="00E5544A">
        <w:t>,</w:t>
      </w:r>
      <w:r w:rsidR="00E5544A" w:rsidRPr="00E5544A">
        <w:t xml:space="preserve"> </w:t>
      </w:r>
      <w:r w:rsidR="00E5544A">
        <w:t>pursuant to</w:t>
      </w:r>
      <w:r w:rsidR="00E5544A" w:rsidRPr="00D14DD7">
        <w:t xml:space="preserve"> Security Council </w:t>
      </w:r>
      <w:r w:rsidR="00E5544A">
        <w:t>r</w:t>
      </w:r>
      <w:r w:rsidR="00E5544A" w:rsidRPr="00D14DD7">
        <w:t>esolution 1244 (1999)</w:t>
      </w:r>
      <w:r w:rsidR="00E5544A">
        <w:t>,</w:t>
      </w:r>
      <w:r w:rsidR="00CC6014">
        <w:t xml:space="preserve"> civil authority there is exercised by</w:t>
      </w:r>
      <w:r w:rsidR="0076408B" w:rsidRPr="00D14DD7">
        <w:t xml:space="preserve"> the United Nations </w:t>
      </w:r>
      <w:r w:rsidR="00624996">
        <w:t xml:space="preserve">Interim </w:t>
      </w:r>
      <w:r w:rsidR="0076408B" w:rsidRPr="00D14DD7">
        <w:t xml:space="preserve">Administration Mission in Kosovo (UNMIK). The Committee considers that the Convention applies in Kosovo and therefore encourages UNMIK to provide </w:t>
      </w:r>
      <w:r w:rsidR="00E270C1">
        <w:t>the Committee</w:t>
      </w:r>
      <w:r w:rsidR="0076408B" w:rsidRPr="00D14DD7">
        <w:t xml:space="preserve">, in cooperation with the institutions of Kosovo and without prejudice to the final legal status </w:t>
      </w:r>
      <w:proofErr w:type="gramStart"/>
      <w:r w:rsidR="0076408B" w:rsidRPr="00D14DD7">
        <w:t>of</w:t>
      </w:r>
      <w:proofErr w:type="gramEnd"/>
      <w:r w:rsidR="0076408B" w:rsidRPr="00D14DD7">
        <w:t xml:space="preserve"> Kosovo, with a report on the human rights situation </w:t>
      </w:r>
      <w:r w:rsidR="00F70876">
        <w:t>there</w:t>
      </w:r>
      <w:r w:rsidR="0076408B" w:rsidRPr="00D14DD7">
        <w:t xml:space="preserve"> </w:t>
      </w:r>
      <w:r w:rsidR="0076408B" w:rsidRPr="00C026C9">
        <w:t>since June 1999</w:t>
      </w:r>
      <w:r w:rsidR="0076408B" w:rsidRPr="00D14DD7">
        <w:t>.</w:t>
      </w:r>
    </w:p>
    <w:p w:rsidR="002151CB" w:rsidRPr="00D14DD7" w:rsidRDefault="002151CB" w:rsidP="002151CB">
      <w:pPr>
        <w:pStyle w:val="H1G"/>
        <w:rPr>
          <w:lang w:eastAsia="en-GB"/>
        </w:rPr>
      </w:pPr>
      <w:r w:rsidRPr="00D14DD7">
        <w:rPr>
          <w:lang w:eastAsia="en-GB"/>
        </w:rPr>
        <w:tab/>
        <w:t>B.</w:t>
      </w:r>
      <w:r w:rsidRPr="00D14DD7">
        <w:rPr>
          <w:lang w:eastAsia="en-GB"/>
        </w:rPr>
        <w:tab/>
        <w:t>Positive aspects</w:t>
      </w:r>
    </w:p>
    <w:p w:rsidR="00A55DB2" w:rsidRPr="00D14DD7" w:rsidRDefault="004F246E" w:rsidP="004F246E">
      <w:pPr>
        <w:pStyle w:val="SingleTxtG"/>
      </w:pPr>
      <w:r w:rsidRPr="00D14DD7">
        <w:t>5.</w:t>
      </w:r>
      <w:r w:rsidRPr="00D14DD7">
        <w:tab/>
      </w:r>
      <w:r w:rsidR="00A55DB2" w:rsidRPr="00D14DD7">
        <w:t>The Committee notes with satisfaction that the State party ratified the Convention on the Rights of Persons with Disabilities and its Optional Protocol on 31 July 2009.</w:t>
      </w:r>
    </w:p>
    <w:p w:rsidR="00A55DB2" w:rsidRPr="00D14DD7" w:rsidRDefault="004F246E" w:rsidP="004F246E">
      <w:pPr>
        <w:pStyle w:val="SingleTxtG"/>
        <w:keepNext/>
      </w:pPr>
      <w:r w:rsidRPr="00D14DD7">
        <w:lastRenderedPageBreak/>
        <w:t>6.</w:t>
      </w:r>
      <w:r w:rsidRPr="00D14DD7">
        <w:tab/>
      </w:r>
      <w:r w:rsidR="00A55DB2" w:rsidRPr="00D14DD7">
        <w:rPr>
          <w:lang w:eastAsia="en-GB"/>
        </w:rPr>
        <w:t xml:space="preserve">The Committee welcomes the entry into force </w:t>
      </w:r>
      <w:r w:rsidR="00E5544A">
        <w:rPr>
          <w:lang w:eastAsia="en-GB"/>
        </w:rPr>
        <w:t>and</w:t>
      </w:r>
      <w:r w:rsidR="00F70876">
        <w:rPr>
          <w:lang w:eastAsia="en-GB"/>
        </w:rPr>
        <w:t xml:space="preserve"> adoption of </w:t>
      </w:r>
      <w:r w:rsidR="00A55DB2" w:rsidRPr="00D14DD7">
        <w:rPr>
          <w:lang w:eastAsia="en-GB"/>
        </w:rPr>
        <w:t xml:space="preserve">and amendments </w:t>
      </w:r>
      <w:r w:rsidR="00A55DB2">
        <w:rPr>
          <w:lang w:eastAsia="en-GB"/>
        </w:rPr>
        <w:t>to</w:t>
      </w:r>
      <w:r w:rsidR="00A55DB2" w:rsidRPr="00D14DD7">
        <w:rPr>
          <w:lang w:eastAsia="en-GB"/>
        </w:rPr>
        <w:t xml:space="preserve"> national legislation, including:</w:t>
      </w:r>
    </w:p>
    <w:p w:rsidR="00A55DB2" w:rsidRPr="00D14DD7" w:rsidRDefault="00A55DB2" w:rsidP="00AE35A7">
      <w:pPr>
        <w:pStyle w:val="SingleTxtG"/>
        <w:ind w:firstLine="567"/>
        <w:rPr>
          <w:lang w:eastAsia="en-GB"/>
        </w:rPr>
      </w:pPr>
      <w:r w:rsidRPr="00D14DD7">
        <w:rPr>
          <w:lang w:eastAsia="en-GB"/>
        </w:rPr>
        <w:t>(a)</w:t>
      </w:r>
      <w:r w:rsidRPr="00D14DD7">
        <w:rPr>
          <w:lang w:eastAsia="en-GB"/>
        </w:rPr>
        <w:tab/>
        <w:t>The adoption</w:t>
      </w:r>
      <w:r w:rsidR="008D783D">
        <w:rPr>
          <w:lang w:eastAsia="en-GB"/>
        </w:rPr>
        <w:t xml:space="preserve"> </w:t>
      </w:r>
      <w:r w:rsidRPr="00D14DD7">
        <w:rPr>
          <w:lang w:eastAsia="en-GB"/>
        </w:rPr>
        <w:t>of</w:t>
      </w:r>
      <w:r w:rsidR="008D783D">
        <w:rPr>
          <w:lang w:eastAsia="en-GB"/>
        </w:rPr>
        <w:t xml:space="preserve"> </w:t>
      </w:r>
      <w:r w:rsidRPr="00D14DD7">
        <w:rPr>
          <w:lang w:eastAsia="en-GB"/>
        </w:rPr>
        <w:t>Law</w:t>
      </w:r>
      <w:r w:rsidR="00131894">
        <w:rPr>
          <w:lang w:eastAsia="en-GB"/>
        </w:rPr>
        <w:t xml:space="preserve"> No.</w:t>
      </w:r>
      <w:r w:rsidRPr="00D14DD7">
        <w:rPr>
          <w:lang w:eastAsia="en-GB"/>
        </w:rPr>
        <w:t xml:space="preserve"> 7/2011, which </w:t>
      </w:r>
      <w:r w:rsidRPr="00D14DD7">
        <w:t>designates the Protector of Citizens</w:t>
      </w:r>
      <w:r w:rsidR="00AE35A7">
        <w:t xml:space="preserve"> </w:t>
      </w:r>
      <w:r w:rsidR="00AE35A7" w:rsidRPr="00AE35A7">
        <w:t>(Ombudsperson)</w:t>
      </w:r>
      <w:r w:rsidRPr="00D14DD7">
        <w:t xml:space="preserve"> of Serbia as a national preventive mechanism</w:t>
      </w:r>
      <w:r>
        <w:t xml:space="preserve"> under the Optional Protocol to the Convention</w:t>
      </w:r>
      <w:r w:rsidRPr="00D14DD7">
        <w:t>;</w:t>
      </w:r>
    </w:p>
    <w:p w:rsidR="00A55DB2" w:rsidRDefault="00A55DB2" w:rsidP="00A55DB2">
      <w:pPr>
        <w:pStyle w:val="SingleTxtG"/>
        <w:ind w:firstLine="567"/>
      </w:pPr>
      <w:r w:rsidRPr="00D14DD7">
        <w:rPr>
          <w:lang w:eastAsia="en-GB"/>
        </w:rPr>
        <w:t>(b)</w:t>
      </w:r>
      <w:r w:rsidRPr="00D14DD7">
        <w:rPr>
          <w:lang w:eastAsia="en-GB"/>
        </w:rPr>
        <w:tab/>
      </w:r>
      <w:r w:rsidRPr="00D14DD7">
        <w:t xml:space="preserve">The amendment to article 388 of the Criminal Code, increasing the penalties for the crime of </w:t>
      </w:r>
      <w:r>
        <w:t>trafficking in persons;</w:t>
      </w:r>
    </w:p>
    <w:p w:rsidR="00A55DB2" w:rsidRDefault="00A55DB2" w:rsidP="00E62D44">
      <w:pPr>
        <w:pStyle w:val="SingleTxtG"/>
        <w:ind w:firstLine="567"/>
      </w:pPr>
      <w:r>
        <w:t>(c)</w:t>
      </w:r>
      <w:r>
        <w:tab/>
        <w:t xml:space="preserve">The adoption of Law </w:t>
      </w:r>
      <w:r w:rsidR="00131894">
        <w:t xml:space="preserve">No. </w:t>
      </w:r>
      <w:r>
        <w:t xml:space="preserve">72/09 on </w:t>
      </w:r>
      <w:r w:rsidR="00AE35A7">
        <w:t>c</w:t>
      </w:r>
      <w:r>
        <w:t xml:space="preserve">ooperation with the International Criminal Tribunal for the </w:t>
      </w:r>
      <w:r w:rsidR="00AE35A7">
        <w:t>F</w:t>
      </w:r>
      <w:r>
        <w:t xml:space="preserve">ormer Yugoslavia and the </w:t>
      </w:r>
      <w:r w:rsidR="00E62D44">
        <w:t>a</w:t>
      </w:r>
      <w:r>
        <w:t>greement</w:t>
      </w:r>
      <w:r w:rsidR="00E62D44">
        <w:t xml:space="preserve"> of 2011</w:t>
      </w:r>
      <w:r>
        <w:t xml:space="preserve"> on </w:t>
      </w:r>
      <w:r w:rsidR="00E62D44">
        <w:t xml:space="preserve">the </w:t>
      </w:r>
      <w:r>
        <w:t xml:space="preserve">enforcement of penal sanctions imposed by the </w:t>
      </w:r>
      <w:r w:rsidR="00E62D44">
        <w:t>Tribunal</w:t>
      </w:r>
      <w:r>
        <w:t>;</w:t>
      </w:r>
    </w:p>
    <w:p w:rsidR="00A55DB2" w:rsidRPr="00D14DD7" w:rsidRDefault="00A55DB2" w:rsidP="00A55DB2">
      <w:pPr>
        <w:pStyle w:val="SingleTxtG"/>
        <w:ind w:firstLine="567"/>
        <w:rPr>
          <w:highlight w:val="yellow"/>
          <w:lang w:eastAsia="en-GB"/>
        </w:rPr>
      </w:pPr>
      <w:r>
        <w:t>(d)</w:t>
      </w:r>
      <w:r>
        <w:tab/>
        <w:t xml:space="preserve">The adoption in 2014 of the Law on the Execution of Criminal Sanctions and the Law on </w:t>
      </w:r>
      <w:r w:rsidR="00E62D44">
        <w:t xml:space="preserve">the </w:t>
      </w:r>
      <w:r>
        <w:t>Enforcement of Non-Custodial Sanctions and Measures.</w:t>
      </w:r>
    </w:p>
    <w:p w:rsidR="00A55DB2" w:rsidRPr="00D14DD7" w:rsidRDefault="004F246E" w:rsidP="004F246E">
      <w:pPr>
        <w:pStyle w:val="SingleTxtG"/>
      </w:pPr>
      <w:r w:rsidRPr="00D14DD7">
        <w:t>7.</w:t>
      </w:r>
      <w:r w:rsidRPr="00D14DD7">
        <w:tab/>
      </w:r>
      <w:r w:rsidR="00A55DB2" w:rsidRPr="00D14DD7">
        <w:t>The Committee also commends the State party’s efforts to amend its policies and procedures in order to afford greater protection for human rights and to apply the Convention, in particular:</w:t>
      </w:r>
    </w:p>
    <w:p w:rsidR="00A55DB2" w:rsidRPr="00D14DD7" w:rsidRDefault="00A55DB2" w:rsidP="00961609">
      <w:pPr>
        <w:pStyle w:val="SingleTxtG"/>
        <w:ind w:firstLine="567"/>
      </w:pPr>
      <w:r w:rsidRPr="00D14DD7">
        <w:t>(a)</w:t>
      </w:r>
      <w:r w:rsidRPr="00D14DD7">
        <w:tab/>
        <w:t xml:space="preserve">The adoption in 2011 of the National Strategy for </w:t>
      </w:r>
      <w:r w:rsidR="0076408B">
        <w:t xml:space="preserve">the </w:t>
      </w:r>
      <w:r w:rsidRPr="00D14DD7">
        <w:t xml:space="preserve">Prevention and </w:t>
      </w:r>
      <w:r w:rsidR="00961609">
        <w:t>Elimination</w:t>
      </w:r>
      <w:r w:rsidRPr="00D14DD7">
        <w:t xml:space="preserve"> of Violence against Women in the Family and in Intimate </w:t>
      </w:r>
      <w:r w:rsidR="00961609">
        <w:t xml:space="preserve">Partner </w:t>
      </w:r>
      <w:r w:rsidRPr="00D14DD7">
        <w:t xml:space="preserve">Relationships and the </w:t>
      </w:r>
      <w:r w:rsidR="00961609">
        <w:t>g</w:t>
      </w:r>
      <w:r w:rsidRPr="00D14DD7">
        <w:t xml:space="preserve">eneral and </w:t>
      </w:r>
      <w:r w:rsidR="00961609">
        <w:t>s</w:t>
      </w:r>
      <w:r w:rsidRPr="00D14DD7">
        <w:t xml:space="preserve">pecial </w:t>
      </w:r>
      <w:r w:rsidR="00961609">
        <w:t>p</w:t>
      </w:r>
      <w:r w:rsidRPr="00D14DD7">
        <w:t xml:space="preserve">rotocols for </w:t>
      </w:r>
      <w:r w:rsidR="00961609">
        <w:t>c</w:t>
      </w:r>
      <w:r w:rsidRPr="00D14DD7">
        <w:t>onduct in cases</w:t>
      </w:r>
      <w:r w:rsidR="00961609">
        <w:t xml:space="preserve"> falling within the scope of the strategy</w:t>
      </w:r>
      <w:r w:rsidRPr="00D14DD7">
        <w:t xml:space="preserve">; </w:t>
      </w:r>
    </w:p>
    <w:p w:rsidR="00A55DB2" w:rsidRPr="00D14DD7" w:rsidRDefault="00A55DB2" w:rsidP="00D0401A">
      <w:pPr>
        <w:pStyle w:val="SingleTxtG"/>
        <w:ind w:firstLine="567"/>
      </w:pPr>
      <w:r w:rsidRPr="00D14DD7">
        <w:t>(b)</w:t>
      </w:r>
      <w:r w:rsidRPr="00D14DD7">
        <w:tab/>
        <w:t>The adoption in 2013 of the National Judicial Reform Strategy for the period 2013</w:t>
      </w:r>
      <w:r w:rsidR="00961609">
        <w:t>–</w:t>
      </w:r>
      <w:r w:rsidRPr="00D14DD7">
        <w:t>2018;</w:t>
      </w:r>
    </w:p>
    <w:p w:rsidR="00A55DB2" w:rsidRDefault="00A55DB2" w:rsidP="00D0401A">
      <w:pPr>
        <w:pStyle w:val="SingleTxtG"/>
        <w:ind w:firstLine="567"/>
      </w:pPr>
      <w:r w:rsidRPr="00D14DD7">
        <w:t>(</w:t>
      </w:r>
      <w:r>
        <w:t>c</w:t>
      </w:r>
      <w:r w:rsidRPr="00D14DD7">
        <w:t>)</w:t>
      </w:r>
      <w:r w:rsidRPr="00D14DD7">
        <w:tab/>
        <w:t xml:space="preserve">The adoption </w:t>
      </w:r>
      <w:r>
        <w:t xml:space="preserve">of the </w:t>
      </w:r>
      <w:r w:rsidRPr="00CA17A5">
        <w:t xml:space="preserve">Strategy for </w:t>
      </w:r>
      <w:r w:rsidR="0076408B">
        <w:t xml:space="preserve">the </w:t>
      </w:r>
      <w:r w:rsidRPr="00CA17A5">
        <w:t>Reduction of Overcrowding in Institutions for En</w:t>
      </w:r>
      <w:r>
        <w:t>forcement of Criminal Sanctions for the period 2010</w:t>
      </w:r>
      <w:r w:rsidR="00961609">
        <w:t>–</w:t>
      </w:r>
      <w:r w:rsidRPr="00CA17A5">
        <w:t xml:space="preserve">2015 and </w:t>
      </w:r>
      <w:r>
        <w:t xml:space="preserve">its </w:t>
      </w:r>
      <w:r w:rsidRPr="00CA17A5">
        <w:t>Action Plan</w:t>
      </w:r>
      <w:r>
        <w:t>;</w:t>
      </w:r>
    </w:p>
    <w:p w:rsidR="002151CB" w:rsidRPr="00D14DD7" w:rsidRDefault="00A55DB2" w:rsidP="00051AD9">
      <w:pPr>
        <w:pStyle w:val="SingleTxtG"/>
        <w:ind w:firstLine="567"/>
      </w:pPr>
      <w:r>
        <w:t>(d)</w:t>
      </w:r>
      <w:r>
        <w:tab/>
        <w:t xml:space="preserve">The adoption </w:t>
      </w:r>
      <w:r w:rsidRPr="00D14DD7">
        <w:t xml:space="preserve">of </w:t>
      </w:r>
      <w:r>
        <w:t>the</w:t>
      </w:r>
      <w:r w:rsidRPr="00D14DD7">
        <w:t xml:space="preserve"> Strategy for the Development of the Penal Sanctions Enforcement System</w:t>
      </w:r>
      <w:r w:rsidR="006B356E">
        <w:t xml:space="preserve">, </w:t>
      </w:r>
      <w:r w:rsidR="006B356E" w:rsidRPr="006B356E">
        <w:t>in 2013</w:t>
      </w:r>
      <w:r w:rsidR="006B356E">
        <w:t>,</w:t>
      </w:r>
      <w:r w:rsidRPr="00D14DD7">
        <w:t xml:space="preserve"> and its Action Plan</w:t>
      </w:r>
      <w:r w:rsidR="006B356E">
        <w:t>,</w:t>
      </w:r>
      <w:r w:rsidRPr="00D14DD7">
        <w:t xml:space="preserve"> in 2014.</w:t>
      </w:r>
    </w:p>
    <w:p w:rsidR="002151CB" w:rsidRPr="00D14DD7" w:rsidRDefault="002151CB" w:rsidP="002151CB">
      <w:pPr>
        <w:pStyle w:val="H1G"/>
        <w:rPr>
          <w:lang w:eastAsia="en-GB"/>
        </w:rPr>
      </w:pPr>
      <w:r w:rsidRPr="00D14DD7">
        <w:rPr>
          <w:lang w:eastAsia="en-GB"/>
        </w:rPr>
        <w:tab/>
        <w:t>C.</w:t>
      </w:r>
      <w:r w:rsidRPr="00D14DD7">
        <w:rPr>
          <w:lang w:eastAsia="en-GB"/>
        </w:rPr>
        <w:tab/>
        <w:t>Principal subjects of concern and recommendations</w:t>
      </w:r>
    </w:p>
    <w:p w:rsidR="002151CB" w:rsidRPr="00D14DD7" w:rsidRDefault="002151CB" w:rsidP="002151CB">
      <w:pPr>
        <w:pStyle w:val="H23G"/>
      </w:pPr>
      <w:r>
        <w:tab/>
      </w:r>
      <w:r>
        <w:tab/>
      </w:r>
      <w:r w:rsidRPr="00D14DD7">
        <w:t>Definition of torture and statute of limitations</w:t>
      </w:r>
    </w:p>
    <w:p w:rsidR="002151CB" w:rsidRPr="004F246E" w:rsidRDefault="004F246E" w:rsidP="004F246E">
      <w:pPr>
        <w:pStyle w:val="SingleTxtG"/>
        <w:rPr>
          <w:spacing w:val="-2"/>
        </w:rPr>
      </w:pPr>
      <w:r w:rsidRPr="004F246E">
        <w:rPr>
          <w:spacing w:val="-2"/>
        </w:rPr>
        <w:t>8.</w:t>
      </w:r>
      <w:r w:rsidRPr="004F246E">
        <w:rPr>
          <w:spacing w:val="-2"/>
        </w:rPr>
        <w:tab/>
      </w:r>
      <w:r w:rsidR="002151CB" w:rsidRPr="004F246E">
        <w:rPr>
          <w:spacing w:val="-2"/>
        </w:rPr>
        <w:t xml:space="preserve">The Committee welcomes the information provided by the delegation that amendments to the Criminal Code are being prepared in order to address the definition of the crime of torture. In this respect, the Committee remains concerned </w:t>
      </w:r>
      <w:r w:rsidR="00686285" w:rsidRPr="004F246E">
        <w:rPr>
          <w:spacing w:val="-2"/>
        </w:rPr>
        <w:t>that</w:t>
      </w:r>
      <w:r w:rsidR="00CF56BD" w:rsidRPr="004F246E">
        <w:rPr>
          <w:spacing w:val="-2"/>
        </w:rPr>
        <w:t xml:space="preserve"> </w:t>
      </w:r>
      <w:r w:rsidR="002151CB" w:rsidRPr="004F246E">
        <w:rPr>
          <w:spacing w:val="-2"/>
        </w:rPr>
        <w:t>article</w:t>
      </w:r>
      <w:r w:rsidR="00946599" w:rsidRPr="004F246E">
        <w:rPr>
          <w:spacing w:val="-2"/>
        </w:rPr>
        <w:t> </w:t>
      </w:r>
      <w:r w:rsidR="002151CB" w:rsidRPr="004F246E">
        <w:rPr>
          <w:spacing w:val="-2"/>
        </w:rPr>
        <w:t xml:space="preserve">136 and </w:t>
      </w:r>
      <w:r w:rsidR="009A46F0" w:rsidRPr="004F246E">
        <w:rPr>
          <w:spacing w:val="-2"/>
        </w:rPr>
        <w:t xml:space="preserve">article </w:t>
      </w:r>
      <w:r w:rsidR="002151CB" w:rsidRPr="004F246E">
        <w:rPr>
          <w:spacing w:val="-2"/>
        </w:rPr>
        <w:t>137, paragraphs</w:t>
      </w:r>
      <w:r w:rsidR="00946599" w:rsidRPr="004F246E">
        <w:rPr>
          <w:spacing w:val="-2"/>
        </w:rPr>
        <w:t> </w:t>
      </w:r>
      <w:r w:rsidR="002151CB" w:rsidRPr="004F246E">
        <w:rPr>
          <w:spacing w:val="-2"/>
        </w:rPr>
        <w:t>2 and 3, of the Criminal Code</w:t>
      </w:r>
      <w:r w:rsidR="00686285" w:rsidRPr="004F246E">
        <w:rPr>
          <w:spacing w:val="-2"/>
        </w:rPr>
        <w:t>,</w:t>
      </w:r>
      <w:r w:rsidR="002151CB" w:rsidRPr="004F246E">
        <w:rPr>
          <w:spacing w:val="-2"/>
        </w:rPr>
        <w:t xml:space="preserve"> dealing with acts of torture, </w:t>
      </w:r>
      <w:r w:rsidR="00686285" w:rsidRPr="004F246E">
        <w:rPr>
          <w:spacing w:val="-2"/>
        </w:rPr>
        <w:t xml:space="preserve">are not harmonized, </w:t>
      </w:r>
      <w:r w:rsidR="002151CB" w:rsidRPr="004F246E">
        <w:rPr>
          <w:spacing w:val="-2"/>
        </w:rPr>
        <w:t xml:space="preserve">and the fact that they are not aligned with </w:t>
      </w:r>
      <w:r w:rsidR="00CA17A5" w:rsidRPr="004F246E">
        <w:rPr>
          <w:spacing w:val="-2"/>
        </w:rPr>
        <w:t xml:space="preserve">all </w:t>
      </w:r>
      <w:r w:rsidR="002151CB" w:rsidRPr="004F246E">
        <w:rPr>
          <w:spacing w:val="-2"/>
        </w:rPr>
        <w:t>elements of the crime of torture, as defined in article 1 of the Convention.</w:t>
      </w:r>
      <w:r w:rsidR="002151CB" w:rsidRPr="004F246E">
        <w:rPr>
          <w:rStyle w:val="FootnoteReference"/>
          <w:spacing w:val="-2"/>
          <w:vertAlign w:val="baseline"/>
        </w:rPr>
        <w:t xml:space="preserve"> </w:t>
      </w:r>
      <w:r w:rsidR="002151CB" w:rsidRPr="004F246E">
        <w:rPr>
          <w:spacing w:val="-2"/>
        </w:rPr>
        <w:t>The Committee also regrets that the Criminal Code still maintains the statute of limitations in respect of the crime of torture, and that several criminal proceedings have been considered, consequently, statute-barred (arts.</w:t>
      </w:r>
      <w:r w:rsidR="00946599" w:rsidRPr="004F246E">
        <w:rPr>
          <w:spacing w:val="-2"/>
        </w:rPr>
        <w:t> </w:t>
      </w:r>
      <w:r w:rsidR="002151CB" w:rsidRPr="004F246E">
        <w:rPr>
          <w:spacing w:val="-2"/>
        </w:rPr>
        <w:t>1 and 4).</w:t>
      </w:r>
    </w:p>
    <w:p w:rsidR="002151CB" w:rsidRPr="00D14DD7" w:rsidRDefault="002151CB" w:rsidP="00B84422">
      <w:pPr>
        <w:pStyle w:val="SingleTxtG"/>
        <w:rPr>
          <w:b/>
          <w:bCs/>
        </w:rPr>
      </w:pPr>
      <w:r w:rsidRPr="00D14DD7">
        <w:rPr>
          <w:b/>
        </w:rPr>
        <w:t xml:space="preserve">Recalling its previous concluding </w:t>
      </w:r>
      <w:r w:rsidRPr="002A608F">
        <w:rPr>
          <w:b/>
        </w:rPr>
        <w:t>observations</w:t>
      </w:r>
      <w:r w:rsidRPr="00D14DD7">
        <w:rPr>
          <w:b/>
        </w:rPr>
        <w:t xml:space="preserve"> (</w:t>
      </w:r>
      <w:r w:rsidR="00E90C97">
        <w:rPr>
          <w:b/>
        </w:rPr>
        <w:t xml:space="preserve">see </w:t>
      </w:r>
      <w:r w:rsidRPr="00D14DD7">
        <w:rPr>
          <w:b/>
        </w:rPr>
        <w:t>CAT/C/SRB/CO/1, para.</w:t>
      </w:r>
      <w:r w:rsidR="00946599">
        <w:rPr>
          <w:b/>
        </w:rPr>
        <w:t> </w:t>
      </w:r>
      <w:r>
        <w:rPr>
          <w:b/>
        </w:rPr>
        <w:t>5</w:t>
      </w:r>
      <w:r w:rsidRPr="00D14DD7">
        <w:rPr>
          <w:b/>
        </w:rPr>
        <w:t>), the Committee urges t</w:t>
      </w:r>
      <w:r w:rsidRPr="00D14DD7">
        <w:rPr>
          <w:b/>
          <w:bCs/>
        </w:rPr>
        <w:t xml:space="preserve">he State party to promptly </w:t>
      </w:r>
      <w:r w:rsidR="00CA17A5">
        <w:rPr>
          <w:b/>
          <w:bCs/>
        </w:rPr>
        <w:t>implement</w:t>
      </w:r>
      <w:r w:rsidR="00CA17A5" w:rsidRPr="00D14DD7">
        <w:rPr>
          <w:b/>
          <w:bCs/>
        </w:rPr>
        <w:t xml:space="preserve"> </w:t>
      </w:r>
      <w:r w:rsidRPr="00D14DD7">
        <w:rPr>
          <w:b/>
          <w:bCs/>
        </w:rPr>
        <w:t xml:space="preserve">the legislative measures </w:t>
      </w:r>
      <w:r w:rsidR="00E90C97" w:rsidRPr="00E90C97">
        <w:rPr>
          <w:b/>
          <w:bCs/>
        </w:rPr>
        <w:t>necessary</w:t>
      </w:r>
      <w:r w:rsidRPr="00D14DD7">
        <w:rPr>
          <w:b/>
          <w:bCs/>
        </w:rPr>
        <w:t xml:space="preserve"> to harmoni</w:t>
      </w:r>
      <w:r w:rsidR="00E90C97">
        <w:rPr>
          <w:b/>
          <w:bCs/>
        </w:rPr>
        <w:t>z</w:t>
      </w:r>
      <w:r w:rsidRPr="00D14DD7">
        <w:rPr>
          <w:b/>
          <w:bCs/>
        </w:rPr>
        <w:t>e the provisions of the Criminal Code dealing with torture and align them with the definition contained in article</w:t>
      </w:r>
      <w:r w:rsidR="00946599">
        <w:rPr>
          <w:b/>
          <w:bCs/>
        </w:rPr>
        <w:t> </w:t>
      </w:r>
      <w:r w:rsidRPr="00D14DD7">
        <w:rPr>
          <w:b/>
          <w:bCs/>
        </w:rPr>
        <w:t xml:space="preserve">1 of the Convention, </w:t>
      </w:r>
      <w:r w:rsidR="0090135F">
        <w:rPr>
          <w:b/>
          <w:bCs/>
        </w:rPr>
        <w:t xml:space="preserve">by, </w:t>
      </w:r>
      <w:r w:rsidR="00B84422">
        <w:rPr>
          <w:b/>
          <w:bCs/>
        </w:rPr>
        <w:t>among other things</w:t>
      </w:r>
      <w:r w:rsidR="0090135F">
        <w:rPr>
          <w:b/>
          <w:bCs/>
        </w:rPr>
        <w:t xml:space="preserve">, </w:t>
      </w:r>
      <w:r w:rsidRPr="00D14DD7">
        <w:rPr>
          <w:b/>
          <w:bCs/>
        </w:rPr>
        <w:t>including acts of torture perpetrated by or at the instigation of or with the consent or acquiescence of a public official or other person acting in an official capacity. The State party should ensure that acts of torture are punishable by appropriate penalties commensurate with their grave nat</w:t>
      </w:r>
      <w:r w:rsidR="003B79C5">
        <w:rPr>
          <w:b/>
          <w:bCs/>
        </w:rPr>
        <w:t>ure, in accordance with article</w:t>
      </w:r>
      <w:r w:rsidR="00946599">
        <w:rPr>
          <w:b/>
          <w:bCs/>
        </w:rPr>
        <w:t> </w:t>
      </w:r>
      <w:r w:rsidRPr="00D14DD7">
        <w:rPr>
          <w:b/>
          <w:bCs/>
        </w:rPr>
        <w:t>4</w:t>
      </w:r>
      <w:r w:rsidR="00946599">
        <w:rPr>
          <w:b/>
          <w:bCs/>
        </w:rPr>
        <w:t> </w:t>
      </w:r>
      <w:r w:rsidR="00E90C97">
        <w:rPr>
          <w:b/>
          <w:bCs/>
        </w:rPr>
        <w:t>(</w:t>
      </w:r>
      <w:r w:rsidRPr="00D14DD7">
        <w:rPr>
          <w:b/>
          <w:bCs/>
        </w:rPr>
        <w:t>2</w:t>
      </w:r>
      <w:r w:rsidR="00E90C97">
        <w:rPr>
          <w:b/>
          <w:bCs/>
        </w:rPr>
        <w:t>)</w:t>
      </w:r>
      <w:r w:rsidRPr="00D14DD7">
        <w:rPr>
          <w:b/>
          <w:bCs/>
        </w:rPr>
        <w:t xml:space="preserve"> of the Convention. </w:t>
      </w:r>
      <w:r>
        <w:rPr>
          <w:b/>
          <w:bCs/>
        </w:rPr>
        <w:t>T</w:t>
      </w:r>
      <w:r w:rsidRPr="00D14DD7">
        <w:rPr>
          <w:b/>
          <w:bCs/>
        </w:rPr>
        <w:t>he Committee</w:t>
      </w:r>
      <w:r>
        <w:rPr>
          <w:b/>
          <w:bCs/>
        </w:rPr>
        <w:t xml:space="preserve"> </w:t>
      </w:r>
      <w:r w:rsidRPr="00D14DD7">
        <w:rPr>
          <w:b/>
          <w:bCs/>
        </w:rPr>
        <w:t xml:space="preserve">urges the State party to repeal the </w:t>
      </w:r>
      <w:r w:rsidRPr="00D14DD7">
        <w:rPr>
          <w:b/>
          <w:bCs/>
        </w:rPr>
        <w:lastRenderedPageBreak/>
        <w:t>statute of limitation</w:t>
      </w:r>
      <w:r w:rsidR="00D05D7E">
        <w:rPr>
          <w:b/>
          <w:bCs/>
        </w:rPr>
        <w:t>s</w:t>
      </w:r>
      <w:r w:rsidRPr="00D14DD7">
        <w:rPr>
          <w:b/>
          <w:bCs/>
        </w:rPr>
        <w:t xml:space="preserve"> for the crime of torture and to take the action </w:t>
      </w:r>
      <w:r w:rsidR="00E90C97" w:rsidRPr="00E90C97">
        <w:rPr>
          <w:b/>
          <w:bCs/>
        </w:rPr>
        <w:t>necessary</w:t>
      </w:r>
      <w:r w:rsidR="00E90C97">
        <w:rPr>
          <w:b/>
          <w:bCs/>
        </w:rPr>
        <w:t xml:space="preserve"> </w:t>
      </w:r>
      <w:r w:rsidRPr="00D14DD7">
        <w:rPr>
          <w:b/>
          <w:bCs/>
        </w:rPr>
        <w:t xml:space="preserve">to reinstate those investigations for acts of torture that have been discontinued </w:t>
      </w:r>
      <w:r w:rsidR="00E90C97">
        <w:rPr>
          <w:b/>
          <w:bCs/>
        </w:rPr>
        <w:t>owing</w:t>
      </w:r>
      <w:r w:rsidRPr="00D14DD7">
        <w:rPr>
          <w:b/>
          <w:bCs/>
        </w:rPr>
        <w:t xml:space="preserve"> to the statute of limitations. </w:t>
      </w:r>
    </w:p>
    <w:p w:rsidR="002151CB" w:rsidRPr="00D14DD7" w:rsidRDefault="002151CB" w:rsidP="002151CB">
      <w:pPr>
        <w:pStyle w:val="H23G"/>
        <w:rPr>
          <w:bCs/>
          <w:lang w:eastAsia="en-GB"/>
        </w:rPr>
      </w:pPr>
      <w:r w:rsidRPr="00D14DD7">
        <w:rPr>
          <w:bCs/>
          <w:lang w:eastAsia="en-GB"/>
        </w:rPr>
        <w:tab/>
      </w:r>
      <w:r w:rsidRPr="00D14DD7">
        <w:rPr>
          <w:bCs/>
          <w:lang w:eastAsia="en-GB"/>
        </w:rPr>
        <w:tab/>
        <w:t>Fundamental legal safeguards</w:t>
      </w:r>
      <w:r w:rsidRPr="00D14DD7">
        <w:rPr>
          <w:sz w:val="22"/>
          <w:szCs w:val="22"/>
          <w:lang w:eastAsia="en-GB"/>
        </w:rPr>
        <w:t xml:space="preserve"> </w:t>
      </w:r>
    </w:p>
    <w:p w:rsidR="002151CB" w:rsidRPr="00D14DD7" w:rsidRDefault="004F246E" w:rsidP="004F246E">
      <w:pPr>
        <w:pStyle w:val="SingleTxtG"/>
      </w:pPr>
      <w:r w:rsidRPr="00D14DD7">
        <w:t>9.</w:t>
      </w:r>
      <w:r w:rsidRPr="00D14DD7">
        <w:tab/>
      </w:r>
      <w:r w:rsidR="002151CB" w:rsidRPr="00D14DD7">
        <w:t>While noting that the domestic legislation contain</w:t>
      </w:r>
      <w:r w:rsidR="002151CB">
        <w:t>s</w:t>
      </w:r>
      <w:r w:rsidR="002151CB" w:rsidRPr="00D14DD7">
        <w:t xml:space="preserve"> the fundamental legal safeguards against torture, the Committee is concerned </w:t>
      </w:r>
      <w:r w:rsidR="0014040C">
        <w:t>at</w:t>
      </w:r>
      <w:r w:rsidR="002151CB" w:rsidRPr="00D14DD7">
        <w:t xml:space="preserve"> reports that medical examinations of detainees are often conducted in the presence of police officers and that </w:t>
      </w:r>
      <w:r w:rsidR="0090135F">
        <w:t>medical reports</w:t>
      </w:r>
      <w:r w:rsidR="00DB6C84" w:rsidRPr="00D14DD7">
        <w:t xml:space="preserve"> </w:t>
      </w:r>
      <w:r w:rsidR="002151CB" w:rsidRPr="00D14DD7">
        <w:t xml:space="preserve">frequently fail to </w:t>
      </w:r>
      <w:r w:rsidR="0090135F">
        <w:t>include</w:t>
      </w:r>
      <w:r w:rsidR="0090135F" w:rsidRPr="00D14DD7">
        <w:t xml:space="preserve"> </w:t>
      </w:r>
      <w:r w:rsidR="002151CB" w:rsidRPr="00D14DD7">
        <w:t xml:space="preserve">a detailed description of injuries or an interpretation of the findings. The Committee is also concerned </w:t>
      </w:r>
      <w:r w:rsidR="0014040C">
        <w:t>at</w:t>
      </w:r>
      <w:r w:rsidR="002151CB" w:rsidRPr="00D14DD7">
        <w:t xml:space="preserve"> reports about the low quality of the work of </w:t>
      </w:r>
      <w:r w:rsidR="002151CB" w:rsidRPr="00051AD9">
        <w:rPr>
          <w:iCs/>
        </w:rPr>
        <w:t>ex officio</w:t>
      </w:r>
      <w:r w:rsidR="002151CB" w:rsidRPr="00D14DD7">
        <w:t xml:space="preserve"> lawyers, who often meet their clients only in court, and about the fact that persons summoned and interrogated by the police as witnesses</w:t>
      </w:r>
      <w:r w:rsidR="002151CB">
        <w:t>,</w:t>
      </w:r>
      <w:r w:rsidR="002151CB" w:rsidRPr="00D14DD7">
        <w:t xml:space="preserve"> but later charged as defendants</w:t>
      </w:r>
      <w:r w:rsidR="000F2579">
        <w:t>,</w:t>
      </w:r>
      <w:r w:rsidR="002151CB" w:rsidRPr="00D14DD7">
        <w:t xml:space="preserve"> have a right to counsel</w:t>
      </w:r>
      <w:r w:rsidR="003248A1">
        <w:t xml:space="preserve"> </w:t>
      </w:r>
      <w:r w:rsidR="00E5544A">
        <w:t>only</w:t>
      </w:r>
      <w:r w:rsidR="00E5544A" w:rsidRPr="00D14DD7">
        <w:t xml:space="preserve"> </w:t>
      </w:r>
      <w:r w:rsidR="003248A1">
        <w:t>from the moment they are charged</w:t>
      </w:r>
      <w:r w:rsidR="002151CB" w:rsidRPr="00D14DD7">
        <w:t xml:space="preserve">. The Committee also takes note of reports indicating that the registration of detainees is often incomplete </w:t>
      </w:r>
      <w:r w:rsidR="002151CB">
        <w:t>(arts.</w:t>
      </w:r>
      <w:r w:rsidR="004C3025">
        <w:t> </w:t>
      </w:r>
      <w:r w:rsidR="002151CB">
        <w:t>2, 11</w:t>
      </w:r>
      <w:r w:rsidR="002151CB" w:rsidRPr="00D14DD7">
        <w:t xml:space="preserve"> and 12).</w:t>
      </w:r>
    </w:p>
    <w:p w:rsidR="002151CB" w:rsidRPr="00D14DD7" w:rsidRDefault="002151CB" w:rsidP="002151CB">
      <w:pPr>
        <w:pStyle w:val="SingleTxtG"/>
        <w:rPr>
          <w:b/>
          <w:bCs/>
          <w:lang w:eastAsia="en-GB"/>
        </w:rPr>
      </w:pPr>
      <w:r w:rsidRPr="00D14DD7">
        <w:rPr>
          <w:b/>
          <w:bCs/>
          <w:lang w:eastAsia="en-GB"/>
        </w:rPr>
        <w:t xml:space="preserve">The Committee urges the State party to ensure in practice </w:t>
      </w:r>
      <w:r w:rsidRPr="00D14DD7">
        <w:rPr>
          <w:b/>
          <w:lang w:eastAsia="en-GB"/>
        </w:rPr>
        <w:t>that every person deprived of his or her liberty is afforded</w:t>
      </w:r>
      <w:r w:rsidRPr="00D14DD7">
        <w:rPr>
          <w:b/>
          <w:bCs/>
          <w:lang w:eastAsia="en-GB"/>
        </w:rPr>
        <w:t xml:space="preserve"> legal safeguards</w:t>
      </w:r>
      <w:r w:rsidRPr="00D14DD7">
        <w:rPr>
          <w:b/>
          <w:lang w:eastAsia="en-GB"/>
        </w:rPr>
        <w:t xml:space="preserve"> against torture from the outset of </w:t>
      </w:r>
      <w:r w:rsidR="00CA17A5">
        <w:rPr>
          <w:b/>
          <w:lang w:eastAsia="en-GB"/>
        </w:rPr>
        <w:t>deprivation of liberty</w:t>
      </w:r>
      <w:r w:rsidR="00CA17A5" w:rsidRPr="00D14DD7">
        <w:rPr>
          <w:b/>
          <w:lang w:eastAsia="en-GB"/>
        </w:rPr>
        <w:t xml:space="preserve"> </w:t>
      </w:r>
      <w:r w:rsidRPr="00D14DD7">
        <w:rPr>
          <w:b/>
          <w:lang w:eastAsia="en-GB"/>
        </w:rPr>
        <w:t xml:space="preserve">by, </w:t>
      </w:r>
      <w:r w:rsidRPr="00051AD9">
        <w:rPr>
          <w:b/>
          <w:iCs/>
          <w:lang w:eastAsia="en-GB"/>
        </w:rPr>
        <w:t>inter alia</w:t>
      </w:r>
      <w:r w:rsidRPr="00D14DD7">
        <w:rPr>
          <w:b/>
          <w:lang w:eastAsia="en-GB"/>
        </w:rPr>
        <w:t>:</w:t>
      </w:r>
    </w:p>
    <w:p w:rsidR="002151CB" w:rsidRPr="005401DE" w:rsidRDefault="002151CB" w:rsidP="00DF41CB">
      <w:pPr>
        <w:pStyle w:val="SingleTxtG"/>
        <w:ind w:firstLine="567"/>
      </w:pPr>
      <w:r w:rsidRPr="00D0401A">
        <w:rPr>
          <w:lang w:eastAsia="en-GB"/>
        </w:rPr>
        <w:t>(a)</w:t>
      </w:r>
      <w:r w:rsidRPr="00D14DD7">
        <w:rPr>
          <w:b/>
          <w:bCs/>
          <w:lang w:eastAsia="en-GB"/>
        </w:rPr>
        <w:tab/>
        <w:t>Ensuring that detained persons undergo a</w:t>
      </w:r>
      <w:r w:rsidR="00E86867">
        <w:rPr>
          <w:b/>
          <w:bCs/>
          <w:lang w:eastAsia="en-GB"/>
        </w:rPr>
        <w:t>n</w:t>
      </w:r>
      <w:r w:rsidRPr="00D14DD7">
        <w:rPr>
          <w:b/>
          <w:bCs/>
          <w:lang w:eastAsia="en-GB"/>
        </w:rPr>
        <w:t xml:space="preserve"> </w:t>
      </w:r>
      <w:r w:rsidR="00E86867">
        <w:rPr>
          <w:b/>
          <w:bCs/>
          <w:lang w:eastAsia="en-GB"/>
        </w:rPr>
        <w:t xml:space="preserve">independent </w:t>
      </w:r>
      <w:r w:rsidRPr="00D14DD7">
        <w:rPr>
          <w:b/>
          <w:bCs/>
          <w:lang w:eastAsia="en-GB"/>
        </w:rPr>
        <w:t xml:space="preserve">medical examination </w:t>
      </w:r>
      <w:r w:rsidR="00A54DBC">
        <w:rPr>
          <w:b/>
          <w:bCs/>
          <w:lang w:eastAsia="en-GB"/>
        </w:rPr>
        <w:t>from the outset</w:t>
      </w:r>
      <w:r w:rsidRPr="00D14DD7">
        <w:rPr>
          <w:b/>
          <w:bCs/>
          <w:lang w:eastAsia="en-GB"/>
        </w:rPr>
        <w:t xml:space="preserve"> of </w:t>
      </w:r>
      <w:r w:rsidR="00A54DBC">
        <w:rPr>
          <w:b/>
          <w:bCs/>
          <w:lang w:eastAsia="en-GB"/>
        </w:rPr>
        <w:t xml:space="preserve">the </w:t>
      </w:r>
      <w:r>
        <w:rPr>
          <w:b/>
          <w:bCs/>
          <w:lang w:eastAsia="en-GB"/>
        </w:rPr>
        <w:t>deprivation of liberty</w:t>
      </w:r>
      <w:r w:rsidR="001D410E">
        <w:rPr>
          <w:b/>
          <w:bCs/>
          <w:lang w:eastAsia="en-GB"/>
        </w:rPr>
        <w:t>,</w:t>
      </w:r>
      <w:r w:rsidR="00E86867">
        <w:rPr>
          <w:b/>
          <w:bCs/>
          <w:lang w:eastAsia="en-GB"/>
        </w:rPr>
        <w:t xml:space="preserve"> which should be </w:t>
      </w:r>
      <w:r w:rsidR="00A54DBC">
        <w:rPr>
          <w:b/>
          <w:bCs/>
          <w:lang w:eastAsia="en-GB"/>
        </w:rPr>
        <w:t xml:space="preserve">conducted </w:t>
      </w:r>
      <w:r w:rsidR="00A54DBC" w:rsidRPr="00D14DD7">
        <w:rPr>
          <w:b/>
          <w:bCs/>
          <w:lang w:eastAsia="en-GB"/>
        </w:rPr>
        <w:t xml:space="preserve">out of hearing and, </w:t>
      </w:r>
      <w:r w:rsidR="00A54DBC">
        <w:rPr>
          <w:b/>
          <w:bCs/>
          <w:lang w:eastAsia="en-GB"/>
        </w:rPr>
        <w:t>unless the doctor concerned explicitly requests otherwise in a given case</w:t>
      </w:r>
      <w:r w:rsidR="00A54DBC" w:rsidRPr="00D14DD7">
        <w:rPr>
          <w:b/>
          <w:bCs/>
          <w:lang w:eastAsia="en-GB"/>
        </w:rPr>
        <w:t xml:space="preserve">, out of sight of </w:t>
      </w:r>
      <w:r w:rsidR="00A54DBC">
        <w:rPr>
          <w:b/>
          <w:bCs/>
          <w:lang w:eastAsia="en-GB"/>
        </w:rPr>
        <w:t xml:space="preserve">police staff. The State party should also ensure that </w:t>
      </w:r>
      <w:r w:rsidR="00014AEA">
        <w:rPr>
          <w:b/>
          <w:bCs/>
          <w:lang w:eastAsia="en-GB"/>
        </w:rPr>
        <w:t>the record drawn up after the medical examination contains</w:t>
      </w:r>
      <w:r w:rsidR="00A54DBC" w:rsidRPr="001D410E">
        <w:rPr>
          <w:b/>
          <w:bCs/>
          <w:lang w:eastAsia="en-GB"/>
        </w:rPr>
        <w:t xml:space="preserve">, </w:t>
      </w:r>
      <w:r w:rsidR="00A54DBC" w:rsidRPr="00051AD9">
        <w:rPr>
          <w:b/>
          <w:bCs/>
          <w:lang w:eastAsia="en-GB"/>
        </w:rPr>
        <w:t>inter alia</w:t>
      </w:r>
      <w:r w:rsidR="00014AEA">
        <w:rPr>
          <w:b/>
          <w:bCs/>
          <w:lang w:eastAsia="en-GB"/>
        </w:rPr>
        <w:t xml:space="preserve">: (i) an account of statements made by the person </w:t>
      </w:r>
      <w:r w:rsidR="001D410E">
        <w:rPr>
          <w:b/>
          <w:bCs/>
          <w:lang w:eastAsia="en-GB"/>
        </w:rPr>
        <w:t>that</w:t>
      </w:r>
      <w:r w:rsidR="00014AEA">
        <w:rPr>
          <w:b/>
          <w:bCs/>
          <w:lang w:eastAsia="en-GB"/>
        </w:rPr>
        <w:t xml:space="preserve"> are relevant to the medical examination (including his</w:t>
      </w:r>
      <w:r w:rsidR="001D410E">
        <w:rPr>
          <w:b/>
          <w:bCs/>
          <w:lang w:eastAsia="en-GB"/>
        </w:rPr>
        <w:t xml:space="preserve"> or </w:t>
      </w:r>
      <w:r w:rsidR="00014AEA">
        <w:rPr>
          <w:b/>
          <w:bCs/>
          <w:lang w:eastAsia="en-GB"/>
        </w:rPr>
        <w:t xml:space="preserve">her state of health and any allegations of ill-treatment); (ii) a full account of objective medical </w:t>
      </w:r>
      <w:r w:rsidR="00014AEA" w:rsidRPr="005401DE">
        <w:rPr>
          <w:b/>
          <w:bCs/>
          <w:lang w:eastAsia="en-GB"/>
        </w:rPr>
        <w:t>findings based on a thorough examination</w:t>
      </w:r>
      <w:r w:rsidR="00E5544A">
        <w:rPr>
          <w:b/>
          <w:bCs/>
          <w:lang w:eastAsia="en-GB"/>
        </w:rPr>
        <w:t>;</w:t>
      </w:r>
      <w:r w:rsidR="00014AEA" w:rsidRPr="005401DE">
        <w:rPr>
          <w:b/>
          <w:bCs/>
          <w:lang w:eastAsia="en-GB"/>
        </w:rPr>
        <w:t xml:space="preserve"> and </w:t>
      </w:r>
      <w:r w:rsidR="001D410E">
        <w:rPr>
          <w:b/>
          <w:bCs/>
          <w:lang w:eastAsia="en-GB"/>
        </w:rPr>
        <w:t>(</w:t>
      </w:r>
      <w:r w:rsidR="00F86DFD" w:rsidRPr="005401DE">
        <w:rPr>
          <w:b/>
          <w:bCs/>
          <w:lang w:eastAsia="en-GB"/>
        </w:rPr>
        <w:t xml:space="preserve">iii) </w:t>
      </w:r>
      <w:r w:rsidR="00014AEA" w:rsidRPr="005401DE">
        <w:rPr>
          <w:b/>
          <w:bCs/>
          <w:lang w:eastAsia="en-GB"/>
        </w:rPr>
        <w:t xml:space="preserve">the </w:t>
      </w:r>
      <w:r w:rsidR="002D57D5">
        <w:rPr>
          <w:b/>
          <w:bCs/>
          <w:lang w:eastAsia="en-GB"/>
        </w:rPr>
        <w:t>health</w:t>
      </w:r>
      <w:r w:rsidR="0017388E">
        <w:rPr>
          <w:b/>
          <w:bCs/>
          <w:lang w:eastAsia="en-GB"/>
        </w:rPr>
        <w:t>-</w:t>
      </w:r>
      <w:r w:rsidR="002D57D5">
        <w:rPr>
          <w:b/>
          <w:bCs/>
          <w:lang w:eastAsia="en-GB"/>
        </w:rPr>
        <w:t>care</w:t>
      </w:r>
      <w:r w:rsidR="00014AEA" w:rsidRPr="005401DE">
        <w:rPr>
          <w:b/>
          <w:bCs/>
          <w:lang w:eastAsia="en-GB"/>
        </w:rPr>
        <w:t xml:space="preserve"> professional’s observations in the light of </w:t>
      </w:r>
      <w:r w:rsidR="001D410E">
        <w:rPr>
          <w:b/>
          <w:bCs/>
          <w:lang w:eastAsia="en-GB"/>
        </w:rPr>
        <w:t>(</w:t>
      </w:r>
      <w:r w:rsidR="00014AEA" w:rsidRPr="005401DE">
        <w:rPr>
          <w:b/>
          <w:bCs/>
          <w:lang w:eastAsia="en-GB"/>
        </w:rPr>
        <w:t xml:space="preserve">i) and </w:t>
      </w:r>
      <w:r w:rsidR="001D410E">
        <w:rPr>
          <w:b/>
          <w:bCs/>
          <w:lang w:eastAsia="en-GB"/>
        </w:rPr>
        <w:t>(</w:t>
      </w:r>
      <w:r w:rsidR="00014AEA" w:rsidRPr="005401DE">
        <w:rPr>
          <w:b/>
          <w:bCs/>
          <w:lang w:eastAsia="en-GB"/>
        </w:rPr>
        <w:t>ii), indicating the consistency</w:t>
      </w:r>
      <w:r w:rsidR="00250A82" w:rsidRPr="00250A82">
        <w:rPr>
          <w:b/>
          <w:bCs/>
          <w:lang w:eastAsia="en-GB"/>
        </w:rPr>
        <w:t xml:space="preserve"> </w:t>
      </w:r>
      <w:r w:rsidR="00014AEA" w:rsidRPr="005401DE">
        <w:rPr>
          <w:b/>
          <w:bCs/>
          <w:lang w:eastAsia="en-GB"/>
        </w:rPr>
        <w:t xml:space="preserve">between any allegations made and the objective medical findings. The results of the </w:t>
      </w:r>
      <w:r w:rsidR="00250A82" w:rsidRPr="00250A82">
        <w:rPr>
          <w:b/>
          <w:bCs/>
          <w:lang w:eastAsia="en-GB"/>
        </w:rPr>
        <w:t>examination should</w:t>
      </w:r>
      <w:r w:rsidR="00014AEA" w:rsidRPr="005401DE">
        <w:rPr>
          <w:b/>
          <w:bCs/>
          <w:lang w:eastAsia="en-GB"/>
        </w:rPr>
        <w:t xml:space="preserve"> also be made available to the </w:t>
      </w:r>
      <w:r w:rsidR="00A54DBC">
        <w:rPr>
          <w:b/>
          <w:bCs/>
          <w:lang w:eastAsia="en-GB"/>
        </w:rPr>
        <w:t>detained person</w:t>
      </w:r>
      <w:r w:rsidR="00A54DBC" w:rsidRPr="005401DE">
        <w:rPr>
          <w:b/>
          <w:bCs/>
          <w:lang w:eastAsia="en-GB"/>
        </w:rPr>
        <w:t xml:space="preserve"> </w:t>
      </w:r>
      <w:r w:rsidR="00014AEA" w:rsidRPr="005401DE">
        <w:rPr>
          <w:b/>
          <w:bCs/>
          <w:lang w:eastAsia="en-GB"/>
        </w:rPr>
        <w:t>concerned and</w:t>
      </w:r>
      <w:r w:rsidR="00F86DFD" w:rsidRPr="005401DE">
        <w:rPr>
          <w:b/>
          <w:bCs/>
          <w:lang w:eastAsia="en-GB"/>
        </w:rPr>
        <w:t xml:space="preserve"> his or her lawyer. </w:t>
      </w:r>
      <w:r w:rsidR="002D57D5" w:rsidRPr="0090135F">
        <w:rPr>
          <w:b/>
          <w:bCs/>
          <w:lang w:eastAsia="en-GB"/>
        </w:rPr>
        <w:t>Health</w:t>
      </w:r>
      <w:r w:rsidR="001D410E" w:rsidRPr="0090135F">
        <w:rPr>
          <w:b/>
          <w:bCs/>
          <w:lang w:eastAsia="en-GB"/>
        </w:rPr>
        <w:t>-</w:t>
      </w:r>
      <w:r w:rsidR="002D57D5" w:rsidRPr="0090135F">
        <w:rPr>
          <w:b/>
          <w:bCs/>
          <w:lang w:eastAsia="en-GB"/>
        </w:rPr>
        <w:t>care</w:t>
      </w:r>
      <w:r w:rsidR="00F86DFD" w:rsidRPr="0090135F">
        <w:rPr>
          <w:b/>
          <w:bCs/>
          <w:lang w:eastAsia="en-GB"/>
        </w:rPr>
        <w:t xml:space="preserve"> </w:t>
      </w:r>
      <w:r w:rsidR="00014AEA" w:rsidRPr="0090135F">
        <w:rPr>
          <w:b/>
          <w:bCs/>
          <w:lang w:eastAsia="en-GB"/>
        </w:rPr>
        <w:t>professionals should not be exposed to any form of undue pressure or reprisals from management staff when they fulfil th</w:t>
      </w:r>
      <w:r w:rsidR="00DF41CB" w:rsidRPr="0090135F">
        <w:rPr>
          <w:b/>
          <w:bCs/>
          <w:lang w:eastAsia="en-GB"/>
        </w:rPr>
        <w:t>is</w:t>
      </w:r>
      <w:r w:rsidR="00014AEA" w:rsidRPr="0090135F">
        <w:rPr>
          <w:b/>
          <w:bCs/>
          <w:lang w:eastAsia="en-GB"/>
        </w:rPr>
        <w:t xml:space="preserve"> duty</w:t>
      </w:r>
      <w:r w:rsidR="00DF41CB" w:rsidRPr="0090135F">
        <w:rPr>
          <w:b/>
          <w:bCs/>
          <w:lang w:eastAsia="en-GB"/>
        </w:rPr>
        <w:t>, nor should the detained persons concerned</w:t>
      </w:r>
      <w:r w:rsidRPr="00D14DD7">
        <w:rPr>
          <w:b/>
          <w:bCs/>
          <w:lang w:eastAsia="en-GB"/>
        </w:rPr>
        <w:t>;</w:t>
      </w:r>
    </w:p>
    <w:p w:rsidR="002151CB" w:rsidRPr="00D14DD7" w:rsidRDefault="002151CB" w:rsidP="00D0401A">
      <w:pPr>
        <w:pStyle w:val="SingleTxtG"/>
        <w:ind w:firstLine="567"/>
        <w:rPr>
          <w:rFonts w:ascii="Verdana" w:hAnsi="Verdana" w:cs="Arial"/>
          <w:color w:val="000000"/>
          <w:sz w:val="17"/>
          <w:szCs w:val="17"/>
        </w:rPr>
      </w:pPr>
      <w:r w:rsidRPr="00D0401A">
        <w:rPr>
          <w:lang w:eastAsia="en-GB"/>
        </w:rPr>
        <w:t>(</w:t>
      </w:r>
      <w:r w:rsidR="00A54DBC" w:rsidRPr="00D0401A">
        <w:rPr>
          <w:lang w:eastAsia="en-GB"/>
        </w:rPr>
        <w:t>b</w:t>
      </w:r>
      <w:r w:rsidRPr="00D0401A">
        <w:rPr>
          <w:lang w:eastAsia="en-GB"/>
        </w:rPr>
        <w:t>)</w:t>
      </w:r>
      <w:r w:rsidRPr="00D14DD7">
        <w:rPr>
          <w:b/>
          <w:bCs/>
          <w:lang w:eastAsia="en-GB"/>
        </w:rPr>
        <w:tab/>
        <w:t xml:space="preserve">Reinforcing the system of free legal aid to ensure that the right to access to a competent </w:t>
      </w:r>
      <w:r w:rsidR="0070343B">
        <w:rPr>
          <w:b/>
          <w:bCs/>
          <w:lang w:eastAsia="en-GB"/>
        </w:rPr>
        <w:t xml:space="preserve">and independent </w:t>
      </w:r>
      <w:r w:rsidRPr="00D14DD7">
        <w:rPr>
          <w:b/>
          <w:bCs/>
          <w:lang w:eastAsia="en-GB"/>
        </w:rPr>
        <w:t xml:space="preserve">lawyer applies effectively to anyone who is under a legal obligation to stay in police custody; </w:t>
      </w:r>
    </w:p>
    <w:p w:rsidR="002151CB" w:rsidRPr="00D14DD7" w:rsidRDefault="002151CB" w:rsidP="00D0401A">
      <w:pPr>
        <w:pStyle w:val="SingleTxtG"/>
        <w:ind w:firstLine="567"/>
        <w:rPr>
          <w:b/>
          <w:bCs/>
          <w:lang w:eastAsia="en-GB"/>
        </w:rPr>
      </w:pPr>
      <w:r w:rsidRPr="00D0401A">
        <w:rPr>
          <w:lang w:eastAsia="en-GB"/>
        </w:rPr>
        <w:t>(</w:t>
      </w:r>
      <w:r w:rsidR="00A54DBC" w:rsidRPr="00D0401A">
        <w:rPr>
          <w:lang w:eastAsia="en-GB"/>
        </w:rPr>
        <w:t>c</w:t>
      </w:r>
      <w:r w:rsidRPr="00D0401A">
        <w:rPr>
          <w:lang w:eastAsia="en-GB"/>
        </w:rPr>
        <w:t>)</w:t>
      </w:r>
      <w:r w:rsidRPr="00D14DD7">
        <w:rPr>
          <w:b/>
          <w:bCs/>
          <w:lang w:eastAsia="en-GB"/>
        </w:rPr>
        <w:tab/>
        <w:t>Keeping standard and comprehensive custody registers in all places of detention;</w:t>
      </w:r>
    </w:p>
    <w:p w:rsidR="002151CB" w:rsidRDefault="002151CB" w:rsidP="00D0401A">
      <w:pPr>
        <w:pStyle w:val="SingleTxtG"/>
        <w:ind w:firstLine="567"/>
        <w:rPr>
          <w:b/>
          <w:bCs/>
          <w:lang w:eastAsia="en-GB"/>
        </w:rPr>
      </w:pPr>
      <w:r w:rsidRPr="00D0401A">
        <w:rPr>
          <w:lang w:eastAsia="en-GB"/>
        </w:rPr>
        <w:t>(</w:t>
      </w:r>
      <w:r w:rsidR="00A54DBC" w:rsidRPr="00D0401A">
        <w:rPr>
          <w:lang w:eastAsia="en-GB"/>
        </w:rPr>
        <w:t>d</w:t>
      </w:r>
      <w:r w:rsidRPr="00D0401A">
        <w:rPr>
          <w:lang w:eastAsia="en-GB"/>
        </w:rPr>
        <w:t>)</w:t>
      </w:r>
      <w:r w:rsidRPr="00D14DD7">
        <w:rPr>
          <w:b/>
          <w:bCs/>
          <w:lang w:eastAsia="en-GB"/>
        </w:rPr>
        <w:tab/>
        <w:t>Monitoring regularly the compliance with the legal safeguards by all public officials and ensuring that those who do not comply with th</w:t>
      </w:r>
      <w:r w:rsidR="00F70876">
        <w:rPr>
          <w:b/>
          <w:bCs/>
          <w:lang w:eastAsia="en-GB"/>
        </w:rPr>
        <w:t>o</w:t>
      </w:r>
      <w:r w:rsidRPr="00D14DD7">
        <w:rPr>
          <w:b/>
          <w:bCs/>
          <w:lang w:eastAsia="en-GB"/>
        </w:rPr>
        <w:t xml:space="preserve">se safeguards are duly disciplined. </w:t>
      </w:r>
    </w:p>
    <w:p w:rsidR="002151CB" w:rsidRPr="00D14DD7" w:rsidRDefault="00B22282" w:rsidP="00B22282">
      <w:pPr>
        <w:pStyle w:val="H23G"/>
      </w:pPr>
      <w:r>
        <w:tab/>
      </w:r>
      <w:r>
        <w:tab/>
      </w:r>
      <w:r w:rsidR="002151CB" w:rsidRPr="00D14DD7">
        <w:t>Impunity</w:t>
      </w:r>
      <w:r w:rsidR="002151CB">
        <w:t xml:space="preserve"> for acts of torture and ill-treatment</w:t>
      </w:r>
    </w:p>
    <w:p w:rsidR="002151CB" w:rsidRPr="00D14DD7" w:rsidRDefault="004F246E" w:rsidP="004F246E">
      <w:pPr>
        <w:pStyle w:val="SingleTxtG"/>
      </w:pPr>
      <w:r w:rsidRPr="00D14DD7">
        <w:t>10.</w:t>
      </w:r>
      <w:r w:rsidRPr="00D14DD7">
        <w:tab/>
      </w:r>
      <w:r w:rsidR="002151CB" w:rsidRPr="00D14DD7">
        <w:t xml:space="preserve">The Committee notes with concern that of 391 complaints of torture and ill-treatment filed with the Internal Control Department </w:t>
      </w:r>
      <w:r w:rsidR="005D2F46">
        <w:t xml:space="preserve">of the police </w:t>
      </w:r>
      <w:r w:rsidR="002151CB" w:rsidRPr="00D14DD7">
        <w:t>between 2009 and March 2012, only 15 per cent resulted in disciplinary measures, the majority of which were fines. While the State party does not provide further information on the</w:t>
      </w:r>
      <w:r w:rsidR="002151CB">
        <w:t xml:space="preserve"> number and</w:t>
      </w:r>
      <w:r w:rsidR="002151CB" w:rsidRPr="00D14DD7">
        <w:t xml:space="preserve"> </w:t>
      </w:r>
      <w:r w:rsidR="002151CB">
        <w:t>result</w:t>
      </w:r>
      <w:r w:rsidR="005D2F46">
        <w:t>s</w:t>
      </w:r>
      <w:r w:rsidR="002151CB">
        <w:t xml:space="preserve"> of criminal investigations</w:t>
      </w:r>
      <w:r w:rsidR="002151CB" w:rsidRPr="00D14DD7">
        <w:t>, the Comm</w:t>
      </w:r>
      <w:r w:rsidR="002151CB">
        <w:t xml:space="preserve">ittee is highly concerned </w:t>
      </w:r>
      <w:r w:rsidR="0014040C">
        <w:t>at</w:t>
      </w:r>
      <w:r w:rsidR="002151CB">
        <w:t xml:space="preserve"> </w:t>
      </w:r>
      <w:r w:rsidR="002151CB" w:rsidRPr="00D14DD7">
        <w:t>information</w:t>
      </w:r>
      <w:r w:rsidR="002151CB">
        <w:t xml:space="preserve"> that</w:t>
      </w:r>
      <w:r w:rsidR="002151CB" w:rsidRPr="00D14DD7">
        <w:t xml:space="preserve"> </w:t>
      </w:r>
      <w:r w:rsidR="005D2F46" w:rsidRPr="005D2F46">
        <w:t>a condemnatory judgement was passed</w:t>
      </w:r>
      <w:r w:rsidR="005D2F46">
        <w:t xml:space="preserve"> </w:t>
      </w:r>
      <w:r w:rsidR="002151CB" w:rsidRPr="00D14DD7">
        <w:t xml:space="preserve">only in 15 per cent of the criminal cases filed since 2010, and </w:t>
      </w:r>
      <w:r w:rsidR="005D2F46">
        <w:t xml:space="preserve">that </w:t>
      </w:r>
      <w:r w:rsidR="002151CB" w:rsidRPr="00D14DD7">
        <w:t xml:space="preserve">the most </w:t>
      </w:r>
      <w:r w:rsidR="00F70876">
        <w:t>common</w:t>
      </w:r>
      <w:r w:rsidR="002151CB" w:rsidRPr="00D14DD7">
        <w:t xml:space="preserve"> sentence was one or two years’ probation. The Committee is also deeply concerned about reports that</w:t>
      </w:r>
      <w:r w:rsidR="002151CB">
        <w:t>,</w:t>
      </w:r>
      <w:r w:rsidR="002151CB" w:rsidRPr="00D14DD7">
        <w:t xml:space="preserve"> in the majority of cases</w:t>
      </w:r>
      <w:r w:rsidR="002151CB">
        <w:t xml:space="preserve">, the complaints were </w:t>
      </w:r>
      <w:r w:rsidR="002151CB">
        <w:lastRenderedPageBreak/>
        <w:t>rejected by the prosecutor</w:t>
      </w:r>
      <w:r w:rsidR="002151CB" w:rsidRPr="00D14DD7">
        <w:t xml:space="preserve">, and is alarmed by the amendments </w:t>
      </w:r>
      <w:r w:rsidR="005D2F46">
        <w:t xml:space="preserve">made </w:t>
      </w:r>
      <w:r w:rsidR="002151CB">
        <w:t xml:space="preserve">to the Criminal Procedure Code </w:t>
      </w:r>
      <w:r w:rsidR="005D2F46">
        <w:t xml:space="preserve">in 2013, </w:t>
      </w:r>
      <w:r w:rsidR="00DF41CB">
        <w:t>namely, that</w:t>
      </w:r>
      <w:r w:rsidR="00351E2F">
        <w:t xml:space="preserve"> </w:t>
      </w:r>
      <w:r w:rsidR="00351E2F" w:rsidRPr="00351E2F">
        <w:t>in cases of torture falling under article 137, paragraphs 2 and 3</w:t>
      </w:r>
      <w:r w:rsidR="00351E2F">
        <w:t>,</w:t>
      </w:r>
      <w:r w:rsidR="002151CB">
        <w:t xml:space="preserve"> the </w:t>
      </w:r>
      <w:r w:rsidR="002151CB" w:rsidRPr="00D14DD7">
        <w:t xml:space="preserve">prosecutor is no </w:t>
      </w:r>
      <w:r w:rsidR="005D2F46">
        <w:t>longer</w:t>
      </w:r>
      <w:r w:rsidR="002151CB" w:rsidRPr="00D14DD7">
        <w:t xml:space="preserve"> under an obligation to conduct an investigation </w:t>
      </w:r>
      <w:r w:rsidR="00870D06">
        <w:t xml:space="preserve">and the victim does not have </w:t>
      </w:r>
      <w:r w:rsidR="00684D72">
        <w:t xml:space="preserve">the possibility of undertaking subsidiary prosecution </w:t>
      </w:r>
      <w:r w:rsidR="002151CB" w:rsidRPr="00D14DD7">
        <w:t>(arts.</w:t>
      </w:r>
      <w:r w:rsidR="00F2572C">
        <w:t> </w:t>
      </w:r>
      <w:r w:rsidR="002151CB" w:rsidRPr="00D14DD7">
        <w:t>12 and 13).</w:t>
      </w:r>
    </w:p>
    <w:p w:rsidR="002151CB" w:rsidRPr="007C0A2F" w:rsidRDefault="002151CB" w:rsidP="00351E2F">
      <w:pPr>
        <w:pStyle w:val="SingleTxtG"/>
        <w:rPr>
          <w:rFonts w:eastAsia="Calibri"/>
          <w:b/>
          <w:bCs/>
          <w:lang w:eastAsia="en-GB"/>
        </w:rPr>
      </w:pPr>
      <w:r w:rsidRPr="00D14DD7">
        <w:rPr>
          <w:b/>
          <w:bCs/>
        </w:rPr>
        <w:t>The Committee</w:t>
      </w:r>
      <w:r w:rsidR="00684D72">
        <w:rPr>
          <w:b/>
          <w:bCs/>
        </w:rPr>
        <w:t xml:space="preserve"> </w:t>
      </w:r>
      <w:r w:rsidRPr="00D14DD7">
        <w:rPr>
          <w:b/>
          <w:bCs/>
        </w:rPr>
        <w:t>urges the State party to</w:t>
      </w:r>
      <w:r>
        <w:rPr>
          <w:b/>
          <w:bCs/>
        </w:rPr>
        <w:t xml:space="preserve"> </w:t>
      </w:r>
      <w:r w:rsidRPr="00413B1A">
        <w:rPr>
          <w:rFonts w:eastAsia="Calibri"/>
          <w:b/>
          <w:bCs/>
          <w:lang w:eastAsia="en-GB"/>
        </w:rPr>
        <w:t xml:space="preserve">adopt the measures </w:t>
      </w:r>
      <w:r w:rsidR="00351E2F" w:rsidRPr="00351E2F">
        <w:rPr>
          <w:rFonts w:eastAsia="Calibri"/>
          <w:b/>
          <w:bCs/>
          <w:lang w:eastAsia="en-GB"/>
        </w:rPr>
        <w:t xml:space="preserve">necessary </w:t>
      </w:r>
      <w:r w:rsidRPr="007C0A2F">
        <w:rPr>
          <w:rFonts w:eastAsia="Calibri"/>
          <w:b/>
          <w:bCs/>
          <w:lang w:eastAsia="en-GB"/>
        </w:rPr>
        <w:t xml:space="preserve">to change the culture of impunity </w:t>
      </w:r>
      <w:r w:rsidR="00684D72">
        <w:rPr>
          <w:rFonts w:eastAsia="Calibri"/>
          <w:b/>
          <w:bCs/>
          <w:lang w:eastAsia="en-GB"/>
        </w:rPr>
        <w:t xml:space="preserve">of torture </w:t>
      </w:r>
      <w:r w:rsidRPr="007C0A2F">
        <w:rPr>
          <w:rFonts w:eastAsia="Calibri"/>
          <w:b/>
          <w:bCs/>
          <w:lang w:eastAsia="en-GB"/>
        </w:rPr>
        <w:t xml:space="preserve">by, </w:t>
      </w:r>
      <w:r w:rsidRPr="00051AD9">
        <w:rPr>
          <w:rFonts w:eastAsia="Calibri"/>
          <w:b/>
          <w:bCs/>
          <w:iCs/>
          <w:lang w:eastAsia="en-GB"/>
        </w:rPr>
        <w:t>inter alia</w:t>
      </w:r>
      <w:r w:rsidRPr="007C0A2F">
        <w:rPr>
          <w:rFonts w:eastAsia="Calibri"/>
          <w:b/>
          <w:bCs/>
          <w:lang w:eastAsia="en-GB"/>
        </w:rPr>
        <w:t>:</w:t>
      </w:r>
    </w:p>
    <w:p w:rsidR="002151CB" w:rsidRDefault="002151CB" w:rsidP="00D0401A">
      <w:pPr>
        <w:pStyle w:val="SingleTxtG"/>
        <w:ind w:firstLine="567"/>
        <w:rPr>
          <w:b/>
          <w:bCs/>
        </w:rPr>
      </w:pPr>
      <w:r w:rsidRPr="00D0401A">
        <w:t>(a)</w:t>
      </w:r>
      <w:r>
        <w:rPr>
          <w:b/>
          <w:bCs/>
        </w:rPr>
        <w:tab/>
        <w:t xml:space="preserve">Amending the Criminal Procedure Code so that public prosecutors have a legal obligation to </w:t>
      </w:r>
      <w:r w:rsidRPr="0022598B">
        <w:rPr>
          <w:b/>
          <w:bCs/>
        </w:rPr>
        <w:t xml:space="preserve">undertake prompt, effective and impartial investigations wherever there is reasonable ground to believe that an act of torture </w:t>
      </w:r>
      <w:r>
        <w:rPr>
          <w:b/>
          <w:bCs/>
        </w:rPr>
        <w:t xml:space="preserve">or ill-treatment </w:t>
      </w:r>
      <w:r w:rsidRPr="0022598B">
        <w:rPr>
          <w:b/>
          <w:bCs/>
        </w:rPr>
        <w:t xml:space="preserve">has been committed as the result of </w:t>
      </w:r>
      <w:r>
        <w:rPr>
          <w:b/>
          <w:bCs/>
        </w:rPr>
        <w:t>the</w:t>
      </w:r>
      <w:r w:rsidRPr="0022598B">
        <w:rPr>
          <w:b/>
          <w:bCs/>
        </w:rPr>
        <w:t xml:space="preserve"> actions or omissions </w:t>
      </w:r>
      <w:r>
        <w:rPr>
          <w:b/>
          <w:bCs/>
        </w:rPr>
        <w:t xml:space="preserve">of State officials or persons acting in an official capacity, </w:t>
      </w:r>
      <w:r w:rsidRPr="000955BB">
        <w:rPr>
          <w:b/>
          <w:bCs/>
        </w:rPr>
        <w:t>whether or not the vict</w:t>
      </w:r>
      <w:r>
        <w:rPr>
          <w:b/>
          <w:bCs/>
        </w:rPr>
        <w:t>im has filed a formal complaint;</w:t>
      </w:r>
    </w:p>
    <w:p w:rsidR="002151CB" w:rsidRPr="005152C3" w:rsidRDefault="002151CB" w:rsidP="00094570">
      <w:pPr>
        <w:pStyle w:val="SingleTxtG"/>
        <w:ind w:firstLine="567"/>
        <w:rPr>
          <w:b/>
          <w:bCs/>
        </w:rPr>
      </w:pPr>
      <w:r w:rsidRPr="00D0401A">
        <w:t>(b)</w:t>
      </w:r>
      <w:r w:rsidRPr="007C0A2F">
        <w:rPr>
          <w:b/>
          <w:bCs/>
        </w:rPr>
        <w:tab/>
      </w:r>
      <w:r w:rsidR="004E7863">
        <w:rPr>
          <w:b/>
          <w:bCs/>
        </w:rPr>
        <w:t>Ensuring</w:t>
      </w:r>
      <w:r w:rsidR="004E7863" w:rsidRPr="004E7863">
        <w:rPr>
          <w:b/>
          <w:bCs/>
        </w:rPr>
        <w:t xml:space="preserve"> </w:t>
      </w:r>
      <w:r w:rsidR="004E7863">
        <w:rPr>
          <w:b/>
          <w:bCs/>
        </w:rPr>
        <w:t xml:space="preserve">that </w:t>
      </w:r>
      <w:r w:rsidR="004E7863" w:rsidRPr="004E7863">
        <w:rPr>
          <w:b/>
          <w:bCs/>
        </w:rPr>
        <w:t xml:space="preserve">an independent body </w:t>
      </w:r>
      <w:r w:rsidR="004E7863">
        <w:rPr>
          <w:b/>
          <w:bCs/>
        </w:rPr>
        <w:t xml:space="preserve">that is not connected </w:t>
      </w:r>
      <w:r w:rsidR="009F4184">
        <w:rPr>
          <w:b/>
          <w:bCs/>
        </w:rPr>
        <w:t xml:space="preserve">with </w:t>
      </w:r>
      <w:r w:rsidR="004E7863">
        <w:rPr>
          <w:b/>
          <w:bCs/>
        </w:rPr>
        <w:t>or</w:t>
      </w:r>
      <w:r w:rsidR="004E7863" w:rsidRPr="004E7863">
        <w:rPr>
          <w:b/>
          <w:bCs/>
        </w:rPr>
        <w:t xml:space="preserve"> under the authority of the police</w:t>
      </w:r>
      <w:r w:rsidR="004E7863">
        <w:rPr>
          <w:b/>
          <w:bCs/>
        </w:rPr>
        <w:t xml:space="preserve"> conducts</w:t>
      </w:r>
      <w:r w:rsidR="004E7863" w:rsidRPr="004E7863">
        <w:rPr>
          <w:b/>
          <w:bCs/>
        </w:rPr>
        <w:t xml:space="preserve"> </w:t>
      </w:r>
      <w:r w:rsidR="00094570">
        <w:rPr>
          <w:b/>
          <w:bCs/>
        </w:rPr>
        <w:t>the</w:t>
      </w:r>
      <w:r w:rsidR="004E7863" w:rsidRPr="004E7863">
        <w:rPr>
          <w:b/>
          <w:bCs/>
        </w:rPr>
        <w:t xml:space="preserve"> investigation</w:t>
      </w:r>
      <w:r w:rsidR="004E7863">
        <w:rPr>
          <w:b/>
          <w:bCs/>
        </w:rPr>
        <w:t>s</w:t>
      </w:r>
      <w:r w:rsidR="004E7863" w:rsidRPr="004E7863">
        <w:rPr>
          <w:b/>
          <w:bCs/>
        </w:rPr>
        <w:t xml:space="preserve"> into all allegations of torture, ill-treatment and excessive use of force </w:t>
      </w:r>
      <w:r w:rsidR="004E7863">
        <w:rPr>
          <w:b/>
          <w:bCs/>
        </w:rPr>
        <w:t>allegedly perpetrated by</w:t>
      </w:r>
      <w:r w:rsidR="004E7863" w:rsidRPr="004E7863">
        <w:rPr>
          <w:b/>
          <w:bCs/>
        </w:rPr>
        <w:t xml:space="preserve"> the police</w:t>
      </w:r>
      <w:r w:rsidR="004E7863">
        <w:rPr>
          <w:b/>
          <w:bCs/>
        </w:rPr>
        <w:t xml:space="preserve">; </w:t>
      </w:r>
    </w:p>
    <w:p w:rsidR="002151CB" w:rsidRPr="000955BB" w:rsidRDefault="002151CB" w:rsidP="009F4184">
      <w:pPr>
        <w:pStyle w:val="SingleTxtG"/>
        <w:ind w:firstLine="567"/>
        <w:rPr>
          <w:b/>
          <w:bCs/>
        </w:rPr>
      </w:pPr>
      <w:r w:rsidRPr="00D0401A">
        <w:t>(</w:t>
      </w:r>
      <w:r w:rsidR="004E7863" w:rsidRPr="00D0401A">
        <w:t>c</w:t>
      </w:r>
      <w:r w:rsidRPr="00D0401A">
        <w:t>)</w:t>
      </w:r>
      <w:r>
        <w:rPr>
          <w:b/>
          <w:bCs/>
        </w:rPr>
        <w:tab/>
        <w:t xml:space="preserve">Ensuring that </w:t>
      </w:r>
      <w:r w:rsidRPr="000955BB">
        <w:rPr>
          <w:b/>
          <w:bCs/>
        </w:rPr>
        <w:t xml:space="preserve">every judge, on learning from a detainee’s statement that he or she has been subjected to torture, </w:t>
      </w:r>
      <w:r>
        <w:rPr>
          <w:b/>
          <w:bCs/>
        </w:rPr>
        <w:t xml:space="preserve">takes the measures </w:t>
      </w:r>
      <w:r w:rsidR="009F4184" w:rsidRPr="009F4184">
        <w:rPr>
          <w:b/>
          <w:bCs/>
        </w:rPr>
        <w:t xml:space="preserve">necessary </w:t>
      </w:r>
      <w:r>
        <w:rPr>
          <w:b/>
          <w:bCs/>
        </w:rPr>
        <w:t>to</w:t>
      </w:r>
      <w:r w:rsidRPr="000955BB">
        <w:rPr>
          <w:b/>
          <w:bCs/>
        </w:rPr>
        <w:t xml:space="preserve"> </w:t>
      </w:r>
      <w:r w:rsidR="00F82B93">
        <w:rPr>
          <w:b/>
          <w:bCs/>
        </w:rPr>
        <w:t>order a</w:t>
      </w:r>
      <w:r w:rsidR="00F82B93" w:rsidRPr="000955BB">
        <w:rPr>
          <w:b/>
          <w:bCs/>
        </w:rPr>
        <w:t xml:space="preserve"> </w:t>
      </w:r>
      <w:r w:rsidRPr="000955BB">
        <w:rPr>
          <w:b/>
          <w:bCs/>
        </w:rPr>
        <w:t>prompt an</w:t>
      </w:r>
      <w:r w:rsidR="00F82B93">
        <w:rPr>
          <w:b/>
          <w:bCs/>
        </w:rPr>
        <w:t>d</w:t>
      </w:r>
      <w:r w:rsidRPr="000955BB">
        <w:rPr>
          <w:b/>
          <w:bCs/>
        </w:rPr>
        <w:t xml:space="preserve"> effective investigation into the matter</w:t>
      </w:r>
      <w:r w:rsidR="00A53E2E">
        <w:rPr>
          <w:b/>
          <w:bCs/>
        </w:rPr>
        <w:t xml:space="preserve"> </w:t>
      </w:r>
      <w:r w:rsidR="00A53E2E" w:rsidRPr="0015699A">
        <w:rPr>
          <w:b/>
          <w:bCs/>
        </w:rPr>
        <w:t xml:space="preserve">wherever there </w:t>
      </w:r>
      <w:r w:rsidR="00A53E2E">
        <w:rPr>
          <w:b/>
          <w:bCs/>
        </w:rPr>
        <w:t>are</w:t>
      </w:r>
      <w:r w:rsidR="00A53E2E" w:rsidRPr="0015699A">
        <w:rPr>
          <w:b/>
          <w:bCs/>
        </w:rPr>
        <w:t xml:space="preserve"> reasonable ground</w:t>
      </w:r>
      <w:r w:rsidR="00A53E2E">
        <w:rPr>
          <w:b/>
          <w:bCs/>
        </w:rPr>
        <w:t>s</w:t>
      </w:r>
      <w:r w:rsidR="00A53E2E" w:rsidRPr="0015699A">
        <w:rPr>
          <w:b/>
          <w:bCs/>
        </w:rPr>
        <w:t xml:space="preserve"> to believe that </w:t>
      </w:r>
      <w:r w:rsidR="00564770">
        <w:rPr>
          <w:b/>
          <w:bCs/>
        </w:rPr>
        <w:t>th</w:t>
      </w:r>
      <w:r w:rsidR="009F4184">
        <w:rPr>
          <w:b/>
          <w:bCs/>
        </w:rPr>
        <w:t>e</w:t>
      </w:r>
      <w:r w:rsidR="00A53E2E" w:rsidRPr="0015699A">
        <w:rPr>
          <w:b/>
          <w:bCs/>
        </w:rPr>
        <w:t xml:space="preserve"> act of torture </w:t>
      </w:r>
      <w:r w:rsidR="009F4184">
        <w:rPr>
          <w:b/>
          <w:bCs/>
        </w:rPr>
        <w:t xml:space="preserve">described </w:t>
      </w:r>
      <w:r w:rsidR="00A53E2E" w:rsidRPr="0015699A">
        <w:rPr>
          <w:b/>
          <w:bCs/>
        </w:rPr>
        <w:t>has been committed</w:t>
      </w:r>
      <w:r w:rsidRPr="000955BB">
        <w:rPr>
          <w:b/>
          <w:bCs/>
        </w:rPr>
        <w:t>;</w:t>
      </w:r>
    </w:p>
    <w:p w:rsidR="002151CB" w:rsidRPr="007C0A2F" w:rsidRDefault="002151CB" w:rsidP="009F4184">
      <w:pPr>
        <w:pStyle w:val="SingleTxtG"/>
        <w:ind w:firstLine="567"/>
        <w:rPr>
          <w:b/>
          <w:bCs/>
        </w:rPr>
      </w:pPr>
      <w:r w:rsidRPr="00D0401A">
        <w:t>(</w:t>
      </w:r>
      <w:r w:rsidR="004E7863" w:rsidRPr="00D0401A">
        <w:t>d</w:t>
      </w:r>
      <w:r w:rsidRPr="00D0401A">
        <w:t>)</w:t>
      </w:r>
      <w:r w:rsidRPr="007C0A2F">
        <w:rPr>
          <w:b/>
          <w:bCs/>
        </w:rPr>
        <w:tab/>
        <w:t xml:space="preserve">Ensuring that public officials under </w:t>
      </w:r>
      <w:r w:rsidRPr="00795F70">
        <w:rPr>
          <w:b/>
          <w:bCs/>
        </w:rPr>
        <w:t xml:space="preserve">criminal or disciplinary </w:t>
      </w:r>
      <w:r w:rsidRPr="0010794E">
        <w:rPr>
          <w:b/>
          <w:bCs/>
        </w:rPr>
        <w:t xml:space="preserve">investigation </w:t>
      </w:r>
      <w:r w:rsidR="009F4184" w:rsidRPr="0010794E">
        <w:rPr>
          <w:b/>
          <w:bCs/>
        </w:rPr>
        <w:t>for</w:t>
      </w:r>
      <w:r w:rsidR="0010794E">
        <w:rPr>
          <w:b/>
          <w:bCs/>
        </w:rPr>
        <w:t xml:space="preserve"> </w:t>
      </w:r>
      <w:r w:rsidR="0010794E" w:rsidRPr="0090135F">
        <w:rPr>
          <w:b/>
          <w:bCs/>
        </w:rPr>
        <w:t>allegedly</w:t>
      </w:r>
      <w:r w:rsidR="009F4184" w:rsidRPr="0010794E">
        <w:rPr>
          <w:b/>
          <w:bCs/>
        </w:rPr>
        <w:t xml:space="preserve"> </w:t>
      </w:r>
      <w:r w:rsidRPr="0010794E">
        <w:rPr>
          <w:b/>
          <w:bCs/>
        </w:rPr>
        <w:t>having committed acts</w:t>
      </w:r>
      <w:r w:rsidRPr="007C0A2F">
        <w:rPr>
          <w:b/>
          <w:bCs/>
        </w:rPr>
        <w:t xml:space="preserve"> of torture or ill-treatment are immediately suspended from their duties and remain so throughout the investigation, subject to the observance of the principle of presumption of innocence;</w:t>
      </w:r>
    </w:p>
    <w:p w:rsidR="002151CB" w:rsidRPr="00CB3385" w:rsidRDefault="002151CB" w:rsidP="00D0401A">
      <w:pPr>
        <w:pStyle w:val="SingleTxtG"/>
        <w:ind w:firstLine="567"/>
        <w:rPr>
          <w:b/>
          <w:bCs/>
        </w:rPr>
      </w:pPr>
      <w:r w:rsidRPr="00D0401A">
        <w:t>(</w:t>
      </w:r>
      <w:r w:rsidR="004E7863" w:rsidRPr="00D0401A">
        <w:t>e</w:t>
      </w:r>
      <w:r w:rsidRPr="00D0401A">
        <w:t>)</w:t>
      </w:r>
      <w:r w:rsidRPr="007C0A2F">
        <w:rPr>
          <w:b/>
          <w:bCs/>
        </w:rPr>
        <w:tab/>
        <w:t xml:space="preserve">Guaranteeing that complainants </w:t>
      </w:r>
      <w:r>
        <w:rPr>
          <w:b/>
          <w:bCs/>
          <w:lang w:val="en-US"/>
        </w:rPr>
        <w:t xml:space="preserve">and victims </w:t>
      </w:r>
      <w:r w:rsidRPr="007C0A2F">
        <w:rPr>
          <w:b/>
          <w:bCs/>
        </w:rPr>
        <w:t>are protected against ill-treatment or intimidation that may arise as a consequence of their complaint</w:t>
      </w:r>
      <w:r>
        <w:rPr>
          <w:b/>
          <w:bCs/>
        </w:rPr>
        <w:t xml:space="preserve">, </w:t>
      </w:r>
      <w:r w:rsidRPr="007C0A2F">
        <w:rPr>
          <w:b/>
          <w:bCs/>
        </w:rPr>
        <w:t xml:space="preserve">are duly informed of the progress </w:t>
      </w:r>
      <w:r>
        <w:rPr>
          <w:b/>
          <w:bCs/>
        </w:rPr>
        <w:t>and results of their complaint and</w:t>
      </w:r>
      <w:r w:rsidRPr="00D54189">
        <w:rPr>
          <w:b/>
          <w:bCs/>
        </w:rPr>
        <w:t xml:space="preserve"> are able to </w:t>
      </w:r>
      <w:r w:rsidR="00AC135A">
        <w:rPr>
          <w:b/>
          <w:bCs/>
        </w:rPr>
        <w:t xml:space="preserve">exercise </w:t>
      </w:r>
      <w:r w:rsidRPr="00D54189">
        <w:rPr>
          <w:b/>
          <w:bCs/>
        </w:rPr>
        <w:t xml:space="preserve">their right to </w:t>
      </w:r>
      <w:r>
        <w:rPr>
          <w:b/>
          <w:bCs/>
        </w:rPr>
        <w:t xml:space="preserve">judicial </w:t>
      </w:r>
      <w:r w:rsidRPr="00D54189">
        <w:rPr>
          <w:b/>
          <w:bCs/>
        </w:rPr>
        <w:t>remedy</w:t>
      </w:r>
      <w:r>
        <w:rPr>
          <w:b/>
          <w:bCs/>
        </w:rPr>
        <w:t xml:space="preserve"> and participation in proceedings</w:t>
      </w:r>
      <w:r w:rsidR="00AC135A">
        <w:rPr>
          <w:b/>
          <w:bCs/>
        </w:rPr>
        <w:t xml:space="preserve"> whenever they disagree with </w:t>
      </w:r>
      <w:r w:rsidR="009F4184">
        <w:rPr>
          <w:b/>
          <w:bCs/>
        </w:rPr>
        <w:t xml:space="preserve">the </w:t>
      </w:r>
      <w:r w:rsidR="00AC135A">
        <w:rPr>
          <w:b/>
          <w:bCs/>
        </w:rPr>
        <w:t>prosecution</w:t>
      </w:r>
      <w:r w:rsidR="00F82B93">
        <w:rPr>
          <w:b/>
          <w:bCs/>
        </w:rPr>
        <w:t>’s</w:t>
      </w:r>
      <w:r w:rsidR="00AC135A">
        <w:rPr>
          <w:b/>
          <w:bCs/>
        </w:rPr>
        <w:t xml:space="preserve"> inaction</w:t>
      </w:r>
      <w:r>
        <w:rPr>
          <w:b/>
          <w:bCs/>
        </w:rPr>
        <w:t>;</w:t>
      </w:r>
    </w:p>
    <w:p w:rsidR="002151CB" w:rsidRDefault="002151CB" w:rsidP="002151CB">
      <w:pPr>
        <w:pStyle w:val="SingleTxtG"/>
        <w:ind w:firstLine="567"/>
        <w:rPr>
          <w:rFonts w:eastAsia="Calibri"/>
          <w:b/>
          <w:bCs/>
          <w:lang w:eastAsia="en-GB"/>
        </w:rPr>
      </w:pPr>
      <w:r w:rsidRPr="00D0401A">
        <w:rPr>
          <w:rFonts w:eastAsia="Calibri"/>
          <w:lang w:eastAsia="en-GB"/>
        </w:rPr>
        <w:t>(</w:t>
      </w:r>
      <w:r w:rsidR="004E7863" w:rsidRPr="00D0401A">
        <w:rPr>
          <w:rFonts w:eastAsia="Calibri"/>
          <w:lang w:eastAsia="en-GB"/>
        </w:rPr>
        <w:t>f</w:t>
      </w:r>
      <w:r w:rsidRPr="00D0401A">
        <w:rPr>
          <w:rFonts w:eastAsia="Calibri"/>
          <w:lang w:eastAsia="en-GB"/>
        </w:rPr>
        <w:t>)</w:t>
      </w:r>
      <w:r w:rsidRPr="007270A2">
        <w:rPr>
          <w:rFonts w:eastAsia="Calibri"/>
          <w:b/>
          <w:bCs/>
          <w:lang w:eastAsia="en-GB"/>
        </w:rPr>
        <w:tab/>
        <w:t>Duly bringing to trial alleged perpetrators of acts of torture or ill-treatment and, if they are found guilty, punishing them with penalties proportionate to the grave nature of their acts</w:t>
      </w:r>
      <w:r>
        <w:rPr>
          <w:rFonts w:eastAsia="Calibri"/>
          <w:b/>
          <w:bCs/>
          <w:lang w:eastAsia="en-GB"/>
        </w:rPr>
        <w:t xml:space="preserve">. </w:t>
      </w:r>
    </w:p>
    <w:p w:rsidR="002151CB" w:rsidRDefault="007D387C" w:rsidP="007D387C">
      <w:pPr>
        <w:pStyle w:val="H23G"/>
        <w:rPr>
          <w:rFonts w:eastAsia="Calibri"/>
          <w:lang w:eastAsia="en-GB"/>
        </w:rPr>
      </w:pPr>
      <w:r>
        <w:rPr>
          <w:rFonts w:eastAsia="Calibri"/>
          <w:lang w:eastAsia="en-GB"/>
        </w:rPr>
        <w:tab/>
      </w:r>
      <w:r>
        <w:rPr>
          <w:rFonts w:eastAsia="Calibri"/>
          <w:lang w:eastAsia="en-GB"/>
        </w:rPr>
        <w:tab/>
      </w:r>
      <w:r w:rsidR="002151CB">
        <w:rPr>
          <w:rFonts w:eastAsia="Calibri"/>
          <w:lang w:eastAsia="en-GB"/>
        </w:rPr>
        <w:t>Investigations of crimes under international law</w:t>
      </w:r>
    </w:p>
    <w:p w:rsidR="002151CB" w:rsidRDefault="004F246E" w:rsidP="004F246E">
      <w:pPr>
        <w:pStyle w:val="SingleTxtG"/>
      </w:pPr>
      <w:r>
        <w:t>11.</w:t>
      </w:r>
      <w:r>
        <w:tab/>
      </w:r>
      <w:r w:rsidR="002151CB" w:rsidRPr="00367060">
        <w:t>The Committee welcomes the measures announced by the delegation to address the</w:t>
      </w:r>
      <w:r w:rsidR="002151CB">
        <w:t xml:space="preserve"> insufficient </w:t>
      </w:r>
      <w:r w:rsidR="00F82B93">
        <w:t xml:space="preserve">resources provided </w:t>
      </w:r>
      <w:r w:rsidR="002151CB">
        <w:t xml:space="preserve">to the Office of the War Crimes Prosecutor and the </w:t>
      </w:r>
      <w:r w:rsidR="002151CB" w:rsidRPr="00367060">
        <w:t>slow progress made in prosecuting crimes under international law,</w:t>
      </w:r>
      <w:r w:rsidR="002151CB">
        <w:rPr>
          <w:rFonts w:eastAsia="Calibri"/>
          <w:bCs/>
          <w:lang w:eastAsia="en-GB"/>
        </w:rPr>
        <w:t xml:space="preserve"> </w:t>
      </w:r>
      <w:r w:rsidR="002151CB">
        <w:t xml:space="preserve">particularly addressing command responsibility, crimes of sexual violence and the transfer and concealment of bodies in the mass graves of </w:t>
      </w:r>
      <w:proofErr w:type="spellStart"/>
      <w:r w:rsidR="002151CB">
        <w:t>Batajnica</w:t>
      </w:r>
      <w:proofErr w:type="spellEnd"/>
      <w:r w:rsidR="002151CB">
        <w:t xml:space="preserve">, </w:t>
      </w:r>
      <w:proofErr w:type="spellStart"/>
      <w:r w:rsidR="002151CB">
        <w:t>Petrovo</w:t>
      </w:r>
      <w:proofErr w:type="spellEnd"/>
      <w:r w:rsidR="002151CB">
        <w:t xml:space="preserve"> </w:t>
      </w:r>
      <w:proofErr w:type="spellStart"/>
      <w:r w:rsidR="000F2579">
        <w:t>S</w:t>
      </w:r>
      <w:r w:rsidR="000F2579" w:rsidRPr="00714C93">
        <w:t>elo</w:t>
      </w:r>
      <w:proofErr w:type="spellEnd"/>
      <w:r w:rsidR="002151CB" w:rsidRPr="00714C93">
        <w:t xml:space="preserve">, </w:t>
      </w:r>
      <w:proofErr w:type="spellStart"/>
      <w:r w:rsidR="002151CB" w:rsidRPr="00714C93">
        <w:t>Rudnica</w:t>
      </w:r>
      <w:proofErr w:type="spellEnd"/>
      <w:r w:rsidR="002151CB" w:rsidRPr="00714C93">
        <w:t xml:space="preserve"> and Lake </w:t>
      </w:r>
      <w:proofErr w:type="spellStart"/>
      <w:r w:rsidR="000F2579" w:rsidRPr="000F2579">
        <w:t>Perućac</w:t>
      </w:r>
      <w:proofErr w:type="spellEnd"/>
      <w:r w:rsidR="002151CB" w:rsidRPr="00714C93">
        <w:t>.</w:t>
      </w:r>
      <w:r w:rsidR="002151CB" w:rsidRPr="00051AD9">
        <w:rPr>
          <w:color w:val="000000"/>
        </w:rPr>
        <w:t xml:space="preserve"> </w:t>
      </w:r>
      <w:r w:rsidR="002151CB">
        <w:t>The Committee also welcomes the commitment of the State party to reinforce the Witness Protection Unit</w:t>
      </w:r>
      <w:r w:rsidR="00F70876">
        <w:t>,</w:t>
      </w:r>
      <w:r w:rsidR="002151CB">
        <w:t xml:space="preserve"> but remains concerned about the allegations of intimidation and ill-treatment of protected witnesses </w:t>
      </w:r>
      <w:r w:rsidR="002151CB" w:rsidRPr="0090135F">
        <w:t xml:space="preserve">by members of </w:t>
      </w:r>
      <w:r w:rsidR="0010794E" w:rsidRPr="0090135F">
        <w:t xml:space="preserve">the Unit </w:t>
      </w:r>
      <w:r w:rsidR="002151CB" w:rsidRPr="0090135F">
        <w:t>that</w:t>
      </w:r>
      <w:r w:rsidR="00012152">
        <w:t xml:space="preserve"> </w:t>
      </w:r>
      <w:r w:rsidR="0090135F">
        <w:t>have yet to be addressed</w:t>
      </w:r>
      <w:r w:rsidR="002151CB">
        <w:t xml:space="preserve"> (arts.</w:t>
      </w:r>
      <w:r w:rsidR="000A740E">
        <w:t> </w:t>
      </w:r>
      <w:r w:rsidR="002151CB">
        <w:t>2, 12 and 16).</w:t>
      </w:r>
    </w:p>
    <w:p w:rsidR="002151CB" w:rsidRDefault="002151CB" w:rsidP="00012152">
      <w:pPr>
        <w:pStyle w:val="SingleTxtG"/>
        <w:keepNext/>
        <w:rPr>
          <w:rFonts w:eastAsia="Calibri"/>
          <w:bCs/>
          <w:lang w:eastAsia="en-GB"/>
        </w:rPr>
      </w:pPr>
      <w:r w:rsidRPr="00D6626F">
        <w:rPr>
          <w:rFonts w:eastAsia="Calibri"/>
          <w:b/>
          <w:bCs/>
          <w:lang w:eastAsia="en-GB"/>
        </w:rPr>
        <w:lastRenderedPageBreak/>
        <w:t xml:space="preserve">The Committee urges the State party to abide by its commitment to reinforce the human and material resources of the </w:t>
      </w:r>
      <w:r w:rsidR="0010794E" w:rsidRPr="0010794E">
        <w:rPr>
          <w:rFonts w:eastAsia="Calibri"/>
          <w:b/>
          <w:bCs/>
          <w:lang w:eastAsia="en-GB"/>
        </w:rPr>
        <w:t>Office of the War Crimes Prosecutor</w:t>
      </w:r>
      <w:r w:rsidRPr="00D6626F">
        <w:rPr>
          <w:rFonts w:eastAsia="Calibri"/>
          <w:b/>
          <w:bCs/>
          <w:lang w:eastAsia="en-GB"/>
        </w:rPr>
        <w:t xml:space="preserve"> and </w:t>
      </w:r>
      <w:r w:rsidR="00012152">
        <w:rPr>
          <w:rFonts w:eastAsia="Calibri"/>
          <w:b/>
          <w:bCs/>
          <w:lang w:eastAsia="en-GB"/>
        </w:rPr>
        <w:t>remove</w:t>
      </w:r>
      <w:r w:rsidR="00012152" w:rsidRPr="00D6626F">
        <w:rPr>
          <w:rFonts w:eastAsia="Calibri"/>
          <w:b/>
          <w:bCs/>
          <w:lang w:eastAsia="en-GB"/>
        </w:rPr>
        <w:t xml:space="preserve"> </w:t>
      </w:r>
      <w:r w:rsidRPr="00D6626F">
        <w:rPr>
          <w:rFonts w:eastAsia="Calibri"/>
          <w:b/>
          <w:bCs/>
          <w:lang w:eastAsia="en-GB"/>
        </w:rPr>
        <w:t>the current barriers to the prosecution of</w:t>
      </w:r>
      <w:r w:rsidRPr="00D6626F">
        <w:rPr>
          <w:b/>
        </w:rPr>
        <w:t xml:space="preserve"> crimes under international law, including torture</w:t>
      </w:r>
      <w:r w:rsidR="00146D7A">
        <w:rPr>
          <w:b/>
        </w:rPr>
        <w:t>,</w:t>
      </w:r>
      <w:r w:rsidRPr="00D6626F">
        <w:rPr>
          <w:b/>
        </w:rPr>
        <w:t xml:space="preserve"> by, </w:t>
      </w:r>
      <w:r w:rsidRPr="00051AD9">
        <w:rPr>
          <w:b/>
          <w:iCs/>
        </w:rPr>
        <w:t>inter alia</w:t>
      </w:r>
      <w:r w:rsidRPr="00713B85">
        <w:rPr>
          <w:b/>
          <w:iCs/>
        </w:rPr>
        <w:t>:</w:t>
      </w:r>
      <w:r w:rsidR="003E40EF">
        <w:t xml:space="preserve"> </w:t>
      </w:r>
    </w:p>
    <w:p w:rsidR="002151CB" w:rsidRPr="007D387C" w:rsidRDefault="007D387C" w:rsidP="00D0401A">
      <w:pPr>
        <w:pStyle w:val="SingleTxtG"/>
        <w:ind w:firstLine="567"/>
        <w:rPr>
          <w:rFonts w:eastAsia="Calibri"/>
          <w:b/>
        </w:rPr>
      </w:pPr>
      <w:r w:rsidRPr="00D0401A">
        <w:rPr>
          <w:rFonts w:eastAsia="Calibri"/>
          <w:bCs/>
        </w:rPr>
        <w:t>(a)</w:t>
      </w:r>
      <w:r w:rsidRPr="007D387C">
        <w:rPr>
          <w:rFonts w:eastAsia="Calibri"/>
          <w:b/>
        </w:rPr>
        <w:tab/>
      </w:r>
      <w:r w:rsidR="002151CB" w:rsidRPr="007D387C">
        <w:rPr>
          <w:rFonts w:eastAsia="Calibri"/>
          <w:b/>
        </w:rPr>
        <w:t xml:space="preserve">Ensuring that all persons, including senior and middle-ranking officials, suspected of </w:t>
      </w:r>
      <w:r w:rsidR="00146D7A">
        <w:rPr>
          <w:rFonts w:eastAsia="Calibri"/>
          <w:b/>
        </w:rPr>
        <w:t xml:space="preserve">having been </w:t>
      </w:r>
      <w:r w:rsidR="002151CB" w:rsidRPr="007D387C">
        <w:rPr>
          <w:rFonts w:eastAsia="Calibri"/>
          <w:b/>
        </w:rPr>
        <w:t>complicit in</w:t>
      </w:r>
      <w:r w:rsidR="00FB4BB4">
        <w:rPr>
          <w:rFonts w:eastAsia="Calibri"/>
          <w:b/>
        </w:rPr>
        <w:t>,</w:t>
      </w:r>
      <w:r w:rsidR="002151CB" w:rsidRPr="007D387C">
        <w:rPr>
          <w:rFonts w:eastAsia="Calibri"/>
          <w:b/>
        </w:rPr>
        <w:t xml:space="preserve"> and perpetrators of</w:t>
      </w:r>
      <w:r w:rsidR="00FB4BB4">
        <w:rPr>
          <w:rFonts w:eastAsia="Calibri"/>
          <w:b/>
        </w:rPr>
        <w:t>,</w:t>
      </w:r>
      <w:r w:rsidR="002151CB" w:rsidRPr="007D387C">
        <w:rPr>
          <w:rFonts w:eastAsia="Calibri"/>
          <w:b/>
        </w:rPr>
        <w:t xml:space="preserve"> war crimes and crimes against humanity are brought to justice; </w:t>
      </w:r>
    </w:p>
    <w:p w:rsidR="002151CB" w:rsidRPr="007D387C" w:rsidRDefault="007D387C" w:rsidP="00146D7A">
      <w:pPr>
        <w:pStyle w:val="SingleTxtG"/>
        <w:ind w:firstLine="567"/>
        <w:rPr>
          <w:rFonts w:eastAsia="Calibri"/>
          <w:b/>
        </w:rPr>
      </w:pPr>
      <w:r w:rsidRPr="00D0401A">
        <w:rPr>
          <w:rFonts w:eastAsia="Calibri"/>
          <w:bCs/>
        </w:rPr>
        <w:t>(b)</w:t>
      </w:r>
      <w:r w:rsidRPr="007D387C">
        <w:rPr>
          <w:rFonts w:eastAsia="Calibri"/>
          <w:b/>
        </w:rPr>
        <w:tab/>
      </w:r>
      <w:r w:rsidR="002151CB" w:rsidRPr="007D387C">
        <w:rPr>
          <w:b/>
        </w:rPr>
        <w:t xml:space="preserve">Undertaking prompt, effective and impartial investigations into allegations of ill-treatment by members of the </w:t>
      </w:r>
      <w:r w:rsidR="00146D7A" w:rsidRPr="00146D7A">
        <w:rPr>
          <w:b/>
          <w:bCs/>
        </w:rPr>
        <w:t>W</w:t>
      </w:r>
      <w:r w:rsidR="00646AE7">
        <w:rPr>
          <w:b/>
          <w:bCs/>
        </w:rPr>
        <w:t>itness Protection Unit</w:t>
      </w:r>
      <w:r w:rsidR="002151CB" w:rsidRPr="007D387C">
        <w:rPr>
          <w:b/>
        </w:rPr>
        <w:t xml:space="preserve">; </w:t>
      </w:r>
    </w:p>
    <w:p w:rsidR="002151CB" w:rsidRPr="007D387C" w:rsidRDefault="007D387C" w:rsidP="00646AE7">
      <w:pPr>
        <w:pStyle w:val="SingleTxtG"/>
        <w:ind w:firstLine="567"/>
        <w:rPr>
          <w:rFonts w:eastAsia="Calibri"/>
          <w:b/>
        </w:rPr>
      </w:pPr>
      <w:r w:rsidRPr="00D0401A">
        <w:rPr>
          <w:rFonts w:eastAsia="Calibri"/>
          <w:bCs/>
        </w:rPr>
        <w:t>(c)</w:t>
      </w:r>
      <w:r w:rsidRPr="007D387C">
        <w:rPr>
          <w:rFonts w:eastAsia="Calibri"/>
          <w:b/>
        </w:rPr>
        <w:tab/>
      </w:r>
      <w:r w:rsidR="002151CB" w:rsidRPr="007D387C">
        <w:rPr>
          <w:b/>
        </w:rPr>
        <w:t xml:space="preserve">Strengthening the </w:t>
      </w:r>
      <w:r w:rsidR="00646AE7" w:rsidRPr="00646AE7">
        <w:rPr>
          <w:b/>
          <w:bCs/>
        </w:rPr>
        <w:t>Witness Protection Unit</w:t>
      </w:r>
      <w:r w:rsidR="002151CB" w:rsidRPr="007D387C">
        <w:rPr>
          <w:b/>
        </w:rPr>
        <w:t xml:space="preserve"> and its protocols as well as the procedural rules for the examination of protected witnesses to ensure the highest standard of protection for the witnesses and their families. </w:t>
      </w:r>
    </w:p>
    <w:p w:rsidR="002151CB" w:rsidRDefault="007D387C" w:rsidP="007D387C">
      <w:pPr>
        <w:pStyle w:val="H23G"/>
        <w:rPr>
          <w:rFonts w:eastAsia="Calibri"/>
          <w:lang w:eastAsia="en-GB"/>
        </w:rPr>
      </w:pPr>
      <w:r>
        <w:rPr>
          <w:rFonts w:eastAsia="Calibri"/>
          <w:lang w:eastAsia="en-GB"/>
        </w:rPr>
        <w:tab/>
      </w:r>
      <w:r>
        <w:rPr>
          <w:rFonts w:eastAsia="Calibri"/>
          <w:lang w:eastAsia="en-GB"/>
        </w:rPr>
        <w:tab/>
      </w:r>
      <w:r w:rsidR="002151CB" w:rsidRPr="00CC7E13">
        <w:rPr>
          <w:rFonts w:eastAsia="Calibri"/>
          <w:lang w:eastAsia="en-GB"/>
        </w:rPr>
        <w:t>Conditions of detention</w:t>
      </w:r>
    </w:p>
    <w:p w:rsidR="002151CB" w:rsidRDefault="004F246E" w:rsidP="004F246E">
      <w:pPr>
        <w:pStyle w:val="SingleTxtG"/>
      </w:pPr>
      <w:r>
        <w:t>12.</w:t>
      </w:r>
      <w:r>
        <w:tab/>
      </w:r>
      <w:r w:rsidR="002151CB">
        <w:rPr>
          <w:lang w:val="en-US"/>
        </w:rPr>
        <w:t xml:space="preserve">While welcoming the measures </w:t>
      </w:r>
      <w:r w:rsidR="00D0387C">
        <w:rPr>
          <w:lang w:val="en-US"/>
        </w:rPr>
        <w:t xml:space="preserve">taken </w:t>
      </w:r>
      <w:r w:rsidR="002151CB">
        <w:rPr>
          <w:lang w:val="en-US"/>
        </w:rPr>
        <w:t>to reduce overcrowding</w:t>
      </w:r>
      <w:r w:rsidR="006C3018">
        <w:rPr>
          <w:lang w:val="en-US"/>
        </w:rPr>
        <w:t xml:space="preserve"> and</w:t>
      </w:r>
      <w:r w:rsidR="00D0387C">
        <w:rPr>
          <w:lang w:val="en-US"/>
        </w:rPr>
        <w:t xml:space="preserve"> improve the material conditions and</w:t>
      </w:r>
      <w:r w:rsidR="00F82B93">
        <w:rPr>
          <w:lang w:val="en-US"/>
        </w:rPr>
        <w:t xml:space="preserve"> access to</w:t>
      </w:r>
      <w:r w:rsidR="00D0387C">
        <w:rPr>
          <w:lang w:val="en-US"/>
        </w:rPr>
        <w:t xml:space="preserve"> health</w:t>
      </w:r>
      <w:r w:rsidR="00FD514E">
        <w:rPr>
          <w:lang w:val="en-US"/>
        </w:rPr>
        <w:t xml:space="preserve"> </w:t>
      </w:r>
      <w:r w:rsidR="00F82B93">
        <w:rPr>
          <w:lang w:val="en-US"/>
        </w:rPr>
        <w:t>care</w:t>
      </w:r>
      <w:r w:rsidR="00D0387C">
        <w:rPr>
          <w:lang w:val="en-US"/>
        </w:rPr>
        <w:t xml:space="preserve"> in places of detention </w:t>
      </w:r>
      <w:r w:rsidR="002151CB">
        <w:rPr>
          <w:lang w:val="en-US"/>
        </w:rPr>
        <w:t>(see para</w:t>
      </w:r>
      <w:r w:rsidR="00F9473D">
        <w:rPr>
          <w:lang w:val="en-US"/>
        </w:rPr>
        <w:t>s</w:t>
      </w:r>
      <w:r w:rsidR="002151CB">
        <w:rPr>
          <w:lang w:val="en-US"/>
        </w:rPr>
        <w:t>.</w:t>
      </w:r>
      <w:r w:rsidR="003852EA">
        <w:rPr>
          <w:lang w:val="en-US"/>
        </w:rPr>
        <w:t> </w:t>
      </w:r>
      <w:r w:rsidR="0064276C">
        <w:rPr>
          <w:lang w:val="en-US"/>
        </w:rPr>
        <w:t>6</w:t>
      </w:r>
      <w:r w:rsidR="00FD514E">
        <w:rPr>
          <w:lang w:val="en-US"/>
        </w:rPr>
        <w:t> </w:t>
      </w:r>
      <w:r w:rsidR="00F9473D">
        <w:rPr>
          <w:lang w:val="en-US"/>
        </w:rPr>
        <w:t xml:space="preserve">(d) and </w:t>
      </w:r>
      <w:r w:rsidR="0064276C">
        <w:rPr>
          <w:lang w:val="en-US"/>
        </w:rPr>
        <w:t>7</w:t>
      </w:r>
      <w:r w:rsidR="00FD514E">
        <w:rPr>
          <w:lang w:val="en-US"/>
        </w:rPr>
        <w:t> </w:t>
      </w:r>
      <w:r w:rsidR="002151CB">
        <w:rPr>
          <w:lang w:val="en-US"/>
        </w:rPr>
        <w:t>(c)</w:t>
      </w:r>
      <w:r w:rsidR="00CA17A5">
        <w:rPr>
          <w:lang w:val="en-US"/>
        </w:rPr>
        <w:t xml:space="preserve"> </w:t>
      </w:r>
      <w:r w:rsidR="00674D83">
        <w:rPr>
          <w:lang w:val="en-US"/>
        </w:rPr>
        <w:t xml:space="preserve">and </w:t>
      </w:r>
      <w:r w:rsidR="00CA17A5">
        <w:rPr>
          <w:lang w:val="en-US"/>
        </w:rPr>
        <w:t>(d)</w:t>
      </w:r>
      <w:r w:rsidR="002151CB">
        <w:rPr>
          <w:lang w:val="en-US"/>
        </w:rPr>
        <w:t xml:space="preserve"> above), t</w:t>
      </w:r>
      <w:r w:rsidR="002151CB" w:rsidRPr="009B4AC6">
        <w:t xml:space="preserve">he Committee </w:t>
      </w:r>
      <w:r w:rsidR="002151CB">
        <w:rPr>
          <w:lang w:val="en-US"/>
        </w:rPr>
        <w:t xml:space="preserve">is concerned that </w:t>
      </w:r>
      <w:r w:rsidR="002151CB" w:rsidRPr="00E84E6C">
        <w:rPr>
          <w:lang w:val="en-US"/>
        </w:rPr>
        <w:t>over</w:t>
      </w:r>
      <w:r w:rsidR="00E84E6C">
        <w:rPr>
          <w:lang w:val="en-US"/>
        </w:rPr>
        <w:t>crowding</w:t>
      </w:r>
      <w:r w:rsidR="002151CB">
        <w:rPr>
          <w:lang w:val="en-US"/>
        </w:rPr>
        <w:t xml:space="preserve"> </w:t>
      </w:r>
      <w:r w:rsidR="00AE6FE4">
        <w:rPr>
          <w:lang w:val="en-US"/>
        </w:rPr>
        <w:t xml:space="preserve">in correctional facilities </w:t>
      </w:r>
      <w:r w:rsidR="002151CB">
        <w:rPr>
          <w:lang w:val="en-US"/>
        </w:rPr>
        <w:t xml:space="preserve">remains above </w:t>
      </w:r>
      <w:r w:rsidR="002151CB" w:rsidRPr="00E84E6C">
        <w:rPr>
          <w:lang w:val="en-US"/>
        </w:rPr>
        <w:t>116</w:t>
      </w:r>
      <w:r w:rsidR="002151CB">
        <w:rPr>
          <w:lang w:val="en-US"/>
        </w:rPr>
        <w:t xml:space="preserve"> per</w:t>
      </w:r>
      <w:r w:rsidR="00FD514E">
        <w:rPr>
          <w:lang w:val="en-US"/>
        </w:rPr>
        <w:t xml:space="preserve"> </w:t>
      </w:r>
      <w:r w:rsidR="002151CB">
        <w:rPr>
          <w:lang w:val="en-US"/>
        </w:rPr>
        <w:t xml:space="preserve">cent, and takes note of information about poor detention conditions, particularly in police stations, </w:t>
      </w:r>
      <w:r w:rsidR="00FD514E">
        <w:rPr>
          <w:lang w:val="en-US"/>
        </w:rPr>
        <w:t xml:space="preserve">a </w:t>
      </w:r>
      <w:r w:rsidR="002151CB">
        <w:rPr>
          <w:lang w:val="en-US"/>
        </w:rPr>
        <w:t xml:space="preserve">lack of meaningful activities and </w:t>
      </w:r>
      <w:r w:rsidR="00A17A22">
        <w:rPr>
          <w:lang w:val="en-US"/>
        </w:rPr>
        <w:t>interaction between</w:t>
      </w:r>
      <w:r w:rsidR="002151CB">
        <w:rPr>
          <w:lang w:val="en-US"/>
        </w:rPr>
        <w:t xml:space="preserve"> </w:t>
      </w:r>
      <w:r w:rsidR="00A63481">
        <w:rPr>
          <w:lang w:val="en-US"/>
        </w:rPr>
        <w:t>persons in detention</w:t>
      </w:r>
      <w:r w:rsidR="00FD514E">
        <w:rPr>
          <w:lang w:val="en-US"/>
        </w:rPr>
        <w:t>,</w:t>
      </w:r>
      <w:r w:rsidR="00A63481">
        <w:rPr>
          <w:lang w:val="en-US"/>
        </w:rPr>
        <w:t xml:space="preserve"> </w:t>
      </w:r>
      <w:r w:rsidR="002151CB">
        <w:rPr>
          <w:lang w:val="en-US"/>
        </w:rPr>
        <w:t>and insufficient health</w:t>
      </w:r>
      <w:r w:rsidR="00F70876">
        <w:rPr>
          <w:lang w:val="en-US"/>
        </w:rPr>
        <w:t>-</w:t>
      </w:r>
      <w:r w:rsidR="002151CB">
        <w:rPr>
          <w:lang w:val="en-US"/>
        </w:rPr>
        <w:t>care</w:t>
      </w:r>
      <w:r w:rsidR="00F82B93">
        <w:rPr>
          <w:lang w:val="en-US"/>
        </w:rPr>
        <w:t xml:space="preserve"> services</w:t>
      </w:r>
      <w:r w:rsidR="002151CB">
        <w:rPr>
          <w:lang w:val="en-US"/>
        </w:rPr>
        <w:t>, including mental health</w:t>
      </w:r>
      <w:r w:rsidR="00F70876">
        <w:rPr>
          <w:lang w:val="en-US"/>
        </w:rPr>
        <w:t xml:space="preserve"> </w:t>
      </w:r>
      <w:r w:rsidR="002151CB">
        <w:rPr>
          <w:lang w:val="en-US"/>
        </w:rPr>
        <w:t>care</w:t>
      </w:r>
      <w:r w:rsidR="00FD514E">
        <w:rPr>
          <w:lang w:val="en-US"/>
        </w:rPr>
        <w:t>,</w:t>
      </w:r>
      <w:r w:rsidR="002151CB">
        <w:rPr>
          <w:lang w:val="en-US"/>
        </w:rPr>
        <w:t xml:space="preserve"> in prisons</w:t>
      </w:r>
      <w:r w:rsidR="003B79C5">
        <w:rPr>
          <w:lang w:val="en-US"/>
        </w:rPr>
        <w:t>.</w:t>
      </w:r>
      <w:r w:rsidR="002151CB">
        <w:rPr>
          <w:lang w:val="en-US"/>
        </w:rPr>
        <w:t xml:space="preserve"> The Committee is also concerned at information that the judiciary continues to </w:t>
      </w:r>
      <w:proofErr w:type="spellStart"/>
      <w:r w:rsidR="002151CB">
        <w:rPr>
          <w:lang w:val="en-US"/>
        </w:rPr>
        <w:t>favour</w:t>
      </w:r>
      <w:proofErr w:type="spellEnd"/>
      <w:r w:rsidR="002151CB">
        <w:rPr>
          <w:lang w:val="en-US"/>
        </w:rPr>
        <w:t xml:space="preserve"> incarceration measures and pretrial detention </w:t>
      </w:r>
      <w:r w:rsidR="00FD514E">
        <w:rPr>
          <w:lang w:val="en-US"/>
        </w:rPr>
        <w:t>over</w:t>
      </w:r>
      <w:r w:rsidR="002151CB">
        <w:rPr>
          <w:lang w:val="en-US"/>
        </w:rPr>
        <w:t xml:space="preserve"> alternative measures</w:t>
      </w:r>
      <w:r w:rsidR="008F4410">
        <w:rPr>
          <w:lang w:val="en-US"/>
        </w:rPr>
        <w:t xml:space="preserve"> of detention</w:t>
      </w:r>
      <w:r w:rsidR="003B79C5">
        <w:rPr>
          <w:lang w:val="en-US"/>
        </w:rPr>
        <w:t>,</w:t>
      </w:r>
      <w:r w:rsidR="008F4410">
        <w:rPr>
          <w:lang w:val="en-US"/>
        </w:rPr>
        <w:t xml:space="preserve"> </w:t>
      </w:r>
      <w:r w:rsidR="00FD514E">
        <w:rPr>
          <w:lang w:val="en-US"/>
        </w:rPr>
        <w:t>de</w:t>
      </w:r>
      <w:r w:rsidR="008F4410">
        <w:rPr>
          <w:lang w:val="en-US"/>
        </w:rPr>
        <w:t>spite the efforts made by the State party to encourage the use of less restrictive measures</w:t>
      </w:r>
      <w:r w:rsidR="002151CB">
        <w:rPr>
          <w:lang w:val="en-US"/>
        </w:rPr>
        <w:t>.</w:t>
      </w:r>
      <w:r w:rsidR="002151CB" w:rsidRPr="009B4AC6">
        <w:t xml:space="preserve"> </w:t>
      </w:r>
      <w:r w:rsidR="00FD514E">
        <w:t>It</w:t>
      </w:r>
      <w:r w:rsidR="002151CB">
        <w:t xml:space="preserve"> remains concerned </w:t>
      </w:r>
      <w:r w:rsidR="002151CB" w:rsidRPr="009B4AC6">
        <w:t xml:space="preserve">at the high </w:t>
      </w:r>
      <w:r w:rsidR="002151CB">
        <w:t>number</w:t>
      </w:r>
      <w:r w:rsidR="002151CB" w:rsidRPr="009B4AC6">
        <w:t xml:space="preserve"> of deaths in custody, </w:t>
      </w:r>
      <w:r w:rsidR="002151CB">
        <w:rPr>
          <w:lang w:val="en-US"/>
        </w:rPr>
        <w:t xml:space="preserve">including </w:t>
      </w:r>
      <w:r w:rsidR="002151CB">
        <w:t>suicides</w:t>
      </w:r>
      <w:r w:rsidR="002151CB">
        <w:rPr>
          <w:lang w:val="en-US"/>
        </w:rPr>
        <w:t>,</w:t>
      </w:r>
      <w:r w:rsidR="002151CB" w:rsidRPr="009B4AC6">
        <w:t xml:space="preserve"> as well as the incidents of inter-prisoner violence</w:t>
      </w:r>
      <w:r w:rsidR="003B79C5">
        <w:t>.</w:t>
      </w:r>
      <w:r w:rsidR="003B79C5">
        <w:rPr>
          <w:lang w:val="en-US"/>
        </w:rPr>
        <w:t xml:space="preserve"> </w:t>
      </w:r>
      <w:r w:rsidR="002151CB">
        <w:rPr>
          <w:lang w:val="en-US"/>
        </w:rPr>
        <w:t xml:space="preserve">The Committee also notes with concern </w:t>
      </w:r>
      <w:r w:rsidR="00E30CAF">
        <w:rPr>
          <w:lang w:val="en-US"/>
        </w:rPr>
        <w:t xml:space="preserve">information </w:t>
      </w:r>
      <w:r w:rsidR="002151CB">
        <w:rPr>
          <w:lang w:val="en-US"/>
        </w:rPr>
        <w:t>that “</w:t>
      </w:r>
      <w:r w:rsidR="002151CB" w:rsidRPr="00E84E6C">
        <w:rPr>
          <w:lang w:val="en-US"/>
        </w:rPr>
        <w:t>non-standard issue objects</w:t>
      </w:r>
      <w:r w:rsidR="002151CB">
        <w:rPr>
          <w:lang w:val="en-US"/>
        </w:rPr>
        <w:t xml:space="preserve">” are still occasionally </w:t>
      </w:r>
      <w:r w:rsidR="00686285">
        <w:rPr>
          <w:lang w:val="en-US"/>
        </w:rPr>
        <w:t>found</w:t>
      </w:r>
      <w:r w:rsidR="002151CB" w:rsidRPr="00E84E6C">
        <w:rPr>
          <w:lang w:val="en-US"/>
        </w:rPr>
        <w:t xml:space="preserve"> </w:t>
      </w:r>
      <w:r w:rsidR="002151CB">
        <w:rPr>
          <w:lang w:val="en-US"/>
        </w:rPr>
        <w:t>in rooms used for police interviews</w:t>
      </w:r>
      <w:r w:rsidR="002151CB" w:rsidRPr="009E2382">
        <w:t xml:space="preserve"> (arts. 2, 11 and 16).</w:t>
      </w:r>
      <w:r w:rsidR="002151CB" w:rsidRPr="009B4AC6">
        <w:t xml:space="preserve"> </w:t>
      </w:r>
    </w:p>
    <w:p w:rsidR="002151CB" w:rsidRPr="007D387C" w:rsidRDefault="002151CB" w:rsidP="007D387C">
      <w:pPr>
        <w:pStyle w:val="SingleTxtG"/>
        <w:rPr>
          <w:b/>
        </w:rPr>
      </w:pPr>
      <w:r w:rsidRPr="007D387C">
        <w:rPr>
          <w:b/>
        </w:rPr>
        <w:t xml:space="preserve">The State party should continue its efforts to </w:t>
      </w:r>
      <w:r w:rsidR="00010872">
        <w:rPr>
          <w:b/>
        </w:rPr>
        <w:t>improve</w:t>
      </w:r>
      <w:r w:rsidR="00010872" w:rsidRPr="007D387C">
        <w:rPr>
          <w:b/>
        </w:rPr>
        <w:t xml:space="preserve"> </w:t>
      </w:r>
      <w:r w:rsidRPr="007D387C">
        <w:rPr>
          <w:b/>
        </w:rPr>
        <w:t xml:space="preserve">the conditions of detention in places of </w:t>
      </w:r>
      <w:r w:rsidR="00AB25D3">
        <w:rPr>
          <w:b/>
        </w:rPr>
        <w:t>detention</w:t>
      </w:r>
      <w:r w:rsidRPr="007D387C">
        <w:rPr>
          <w:b/>
        </w:rPr>
        <w:t>, in particular by:</w:t>
      </w:r>
    </w:p>
    <w:p w:rsidR="002151CB" w:rsidRPr="007D387C" w:rsidRDefault="007D387C" w:rsidP="00F050D1">
      <w:pPr>
        <w:pStyle w:val="SingleTxtG"/>
        <w:ind w:firstLine="567"/>
        <w:rPr>
          <w:b/>
        </w:rPr>
      </w:pPr>
      <w:r w:rsidRPr="00D0401A">
        <w:rPr>
          <w:bCs/>
        </w:rPr>
        <w:t>(a)</w:t>
      </w:r>
      <w:r w:rsidRPr="007D387C">
        <w:rPr>
          <w:b/>
        </w:rPr>
        <w:tab/>
      </w:r>
      <w:r w:rsidR="002151CB" w:rsidRPr="007D387C">
        <w:rPr>
          <w:b/>
        </w:rPr>
        <w:t xml:space="preserve">Implementing effectively the measures designed to </w:t>
      </w:r>
      <w:r w:rsidR="00564770">
        <w:rPr>
          <w:b/>
        </w:rPr>
        <w:t>eliminate</w:t>
      </w:r>
      <w:r w:rsidR="00564770" w:rsidRPr="007D387C">
        <w:rPr>
          <w:b/>
        </w:rPr>
        <w:t xml:space="preserve"> </w:t>
      </w:r>
      <w:r w:rsidR="002151CB" w:rsidRPr="007D387C">
        <w:rPr>
          <w:b/>
        </w:rPr>
        <w:t>overcrowding, particularly through the wider application of non-custodial measures as an alternative to imprisonment, in the light of the United Nations Standard Minimum Rules for Non-custodial Measures (the Tokyo Rules);</w:t>
      </w:r>
    </w:p>
    <w:p w:rsidR="002151CB" w:rsidRPr="007D387C" w:rsidRDefault="007D387C" w:rsidP="009E444F">
      <w:pPr>
        <w:pStyle w:val="SingleTxtG"/>
        <w:ind w:firstLine="567"/>
        <w:rPr>
          <w:b/>
        </w:rPr>
      </w:pPr>
      <w:r w:rsidRPr="00D0401A">
        <w:rPr>
          <w:bCs/>
        </w:rPr>
        <w:t>(b)</w:t>
      </w:r>
      <w:r w:rsidRPr="007D387C">
        <w:rPr>
          <w:b/>
        </w:rPr>
        <w:tab/>
      </w:r>
      <w:r w:rsidR="002151CB" w:rsidRPr="007D387C">
        <w:rPr>
          <w:b/>
        </w:rPr>
        <w:t xml:space="preserve">Fully implementing the recommendations of the </w:t>
      </w:r>
      <w:r w:rsidR="00010872">
        <w:rPr>
          <w:b/>
        </w:rPr>
        <w:t>n</w:t>
      </w:r>
      <w:r w:rsidR="002151CB" w:rsidRPr="007D387C">
        <w:rPr>
          <w:b/>
        </w:rPr>
        <w:t xml:space="preserve">ational </w:t>
      </w:r>
      <w:r w:rsidR="00010872">
        <w:rPr>
          <w:b/>
        </w:rPr>
        <w:t>p</w:t>
      </w:r>
      <w:r w:rsidR="002151CB" w:rsidRPr="007D387C">
        <w:rPr>
          <w:b/>
        </w:rPr>
        <w:t xml:space="preserve">reventive </w:t>
      </w:r>
      <w:r w:rsidR="00010872">
        <w:rPr>
          <w:b/>
        </w:rPr>
        <w:t>m</w:t>
      </w:r>
      <w:r w:rsidR="002151CB" w:rsidRPr="007D387C">
        <w:rPr>
          <w:b/>
        </w:rPr>
        <w:t xml:space="preserve">echanism, including by </w:t>
      </w:r>
      <w:r w:rsidR="002151CB" w:rsidRPr="007D387C">
        <w:rPr>
          <w:rFonts w:eastAsia="Calibri"/>
          <w:b/>
        </w:rPr>
        <w:t>improving access to health</w:t>
      </w:r>
      <w:r w:rsidR="009E444F">
        <w:rPr>
          <w:rFonts w:eastAsia="Calibri"/>
          <w:b/>
        </w:rPr>
        <w:t xml:space="preserve"> </w:t>
      </w:r>
      <w:r w:rsidR="002151CB" w:rsidRPr="007D387C">
        <w:rPr>
          <w:rFonts w:eastAsia="Calibri"/>
          <w:b/>
        </w:rPr>
        <w:t xml:space="preserve">care </w:t>
      </w:r>
      <w:r w:rsidR="009E444F">
        <w:rPr>
          <w:rFonts w:eastAsia="Calibri"/>
          <w:b/>
        </w:rPr>
        <w:t>and ensuring</w:t>
      </w:r>
      <w:r w:rsidR="002151CB" w:rsidRPr="007D387C">
        <w:rPr>
          <w:rFonts w:eastAsia="Calibri"/>
          <w:b/>
        </w:rPr>
        <w:t xml:space="preserve"> full access to mental </w:t>
      </w:r>
      <w:r w:rsidR="002D57D5">
        <w:rPr>
          <w:rFonts w:eastAsia="Calibri"/>
          <w:b/>
        </w:rPr>
        <w:t>health</w:t>
      </w:r>
      <w:r w:rsidR="009E444F">
        <w:rPr>
          <w:rFonts w:eastAsia="Calibri"/>
          <w:b/>
        </w:rPr>
        <w:t>-</w:t>
      </w:r>
      <w:r w:rsidR="002D57D5">
        <w:rPr>
          <w:rFonts w:eastAsia="Calibri"/>
          <w:b/>
        </w:rPr>
        <w:t>care</w:t>
      </w:r>
      <w:r w:rsidR="002151CB" w:rsidRPr="007D387C">
        <w:rPr>
          <w:rFonts w:eastAsia="Calibri"/>
          <w:b/>
        </w:rPr>
        <w:t xml:space="preserve"> services within all prison facilities</w:t>
      </w:r>
      <w:r w:rsidR="00675F0B">
        <w:rPr>
          <w:rFonts w:eastAsia="Calibri"/>
          <w:b/>
        </w:rPr>
        <w:t xml:space="preserve"> and increasing the professional and recreational activities of persons in detention</w:t>
      </w:r>
      <w:r w:rsidR="002151CB" w:rsidRPr="007D387C">
        <w:rPr>
          <w:b/>
        </w:rPr>
        <w:t xml:space="preserve">; </w:t>
      </w:r>
    </w:p>
    <w:p w:rsidR="002151CB" w:rsidRPr="00D0401A" w:rsidRDefault="007D387C" w:rsidP="00012152">
      <w:pPr>
        <w:pStyle w:val="SingleTxtG"/>
        <w:ind w:firstLine="567"/>
        <w:rPr>
          <w:b/>
          <w:bCs/>
        </w:rPr>
      </w:pPr>
      <w:r w:rsidRPr="00D0401A">
        <w:t>(c)</w:t>
      </w:r>
      <w:r w:rsidRPr="00D0401A">
        <w:rPr>
          <w:b/>
          <w:bCs/>
        </w:rPr>
        <w:tab/>
      </w:r>
      <w:r w:rsidR="002151CB" w:rsidRPr="00D0401A">
        <w:rPr>
          <w:b/>
          <w:bCs/>
        </w:rPr>
        <w:t>Ensuring that all incidents of death, suicide, attempted suicide and violence in custody are reported to central authorities for monitoring purposes</w:t>
      </w:r>
      <w:r w:rsidR="00530AC8">
        <w:rPr>
          <w:b/>
          <w:bCs/>
        </w:rPr>
        <w:t xml:space="preserve"> and</w:t>
      </w:r>
      <w:r w:rsidR="002151CB" w:rsidRPr="00D0401A">
        <w:rPr>
          <w:b/>
          <w:bCs/>
        </w:rPr>
        <w:t> that all cases are effectively and independently investigated and, on a finding of criminal responsibility, lead to a penalty proportional to the gravity of the offence</w:t>
      </w:r>
      <w:r w:rsidR="00530AC8">
        <w:rPr>
          <w:b/>
          <w:bCs/>
        </w:rPr>
        <w:t xml:space="preserve">. </w:t>
      </w:r>
      <w:r w:rsidR="00530AC8" w:rsidRPr="00FB06E8">
        <w:rPr>
          <w:b/>
          <w:bCs/>
        </w:rPr>
        <w:t>The State party should also ensure</w:t>
      </w:r>
      <w:r w:rsidR="002151CB" w:rsidRPr="00D0401A">
        <w:rPr>
          <w:b/>
          <w:bCs/>
        </w:rPr>
        <w:t xml:space="preserve"> enhanced </w:t>
      </w:r>
      <w:r w:rsidR="00661D1C" w:rsidRPr="00D0401A">
        <w:rPr>
          <w:b/>
          <w:bCs/>
        </w:rPr>
        <w:t>audio-video monitoring</w:t>
      </w:r>
      <w:r w:rsidR="002151CB" w:rsidRPr="00D0401A">
        <w:rPr>
          <w:b/>
          <w:bCs/>
        </w:rPr>
        <w:t xml:space="preserve"> of interrogation rooms</w:t>
      </w:r>
      <w:r w:rsidR="00C11858" w:rsidRPr="00D0401A">
        <w:rPr>
          <w:b/>
          <w:bCs/>
        </w:rPr>
        <w:t xml:space="preserve"> in police stations</w:t>
      </w:r>
      <w:r w:rsidR="00661D1C" w:rsidRPr="00D0401A">
        <w:rPr>
          <w:b/>
          <w:bCs/>
        </w:rPr>
        <w:t xml:space="preserve"> and prisons</w:t>
      </w:r>
      <w:r w:rsidR="002151CB" w:rsidRPr="00D0401A">
        <w:rPr>
          <w:b/>
          <w:bCs/>
        </w:rPr>
        <w:t xml:space="preserve">; </w:t>
      </w:r>
      <w:r w:rsidR="009E444F">
        <w:rPr>
          <w:b/>
          <w:bCs/>
        </w:rPr>
        <w:t xml:space="preserve">detection and </w:t>
      </w:r>
      <w:r w:rsidR="002151CB" w:rsidRPr="00D0401A">
        <w:rPr>
          <w:b/>
          <w:bCs/>
        </w:rPr>
        <w:t>monitoring</w:t>
      </w:r>
      <w:r w:rsidR="009E444F" w:rsidRPr="00D0401A">
        <w:rPr>
          <w:b/>
          <w:bCs/>
        </w:rPr>
        <w:t xml:space="preserve"> </w:t>
      </w:r>
      <w:r w:rsidR="002151CB" w:rsidRPr="00D0401A">
        <w:rPr>
          <w:b/>
          <w:bCs/>
        </w:rPr>
        <w:t xml:space="preserve">of at-risk detainees, adopting preventive measures regarding the risk of suicide and inter-prisoner violence, including </w:t>
      </w:r>
      <w:r w:rsidR="00F70876">
        <w:rPr>
          <w:b/>
          <w:bCs/>
        </w:rPr>
        <w:t xml:space="preserve">by </w:t>
      </w:r>
      <w:r w:rsidR="002151CB" w:rsidRPr="00D0401A">
        <w:rPr>
          <w:b/>
          <w:bCs/>
        </w:rPr>
        <w:t xml:space="preserve">increasing the number of prison staff; </w:t>
      </w:r>
      <w:r w:rsidR="009E444F">
        <w:rPr>
          <w:b/>
          <w:bCs/>
        </w:rPr>
        <w:t>and</w:t>
      </w:r>
      <w:r w:rsidR="00B84422">
        <w:rPr>
          <w:b/>
          <w:bCs/>
        </w:rPr>
        <w:t xml:space="preserve"> </w:t>
      </w:r>
      <w:r w:rsidR="00F70876">
        <w:rPr>
          <w:b/>
          <w:bCs/>
        </w:rPr>
        <w:t xml:space="preserve">the </w:t>
      </w:r>
      <w:r w:rsidR="002151CB" w:rsidRPr="00D0401A">
        <w:rPr>
          <w:b/>
          <w:bCs/>
        </w:rPr>
        <w:t xml:space="preserve">ongoing </w:t>
      </w:r>
      <w:r w:rsidR="002151CB" w:rsidRPr="00012152">
        <w:rPr>
          <w:b/>
          <w:bCs/>
        </w:rPr>
        <w:t xml:space="preserve">monitoring </w:t>
      </w:r>
      <w:r w:rsidR="00012152">
        <w:rPr>
          <w:b/>
          <w:bCs/>
        </w:rPr>
        <w:t>of the</w:t>
      </w:r>
      <w:r w:rsidR="00012152" w:rsidRPr="00012152">
        <w:rPr>
          <w:b/>
          <w:bCs/>
        </w:rPr>
        <w:t xml:space="preserve"> </w:t>
      </w:r>
      <w:r w:rsidR="00530AC8" w:rsidRPr="00012152">
        <w:rPr>
          <w:b/>
          <w:bCs/>
        </w:rPr>
        <w:t>storage</w:t>
      </w:r>
      <w:r w:rsidR="00530AC8" w:rsidRPr="00D0401A">
        <w:rPr>
          <w:b/>
          <w:bCs/>
        </w:rPr>
        <w:t xml:space="preserve"> </w:t>
      </w:r>
      <w:r w:rsidR="002151CB" w:rsidRPr="00D0401A">
        <w:rPr>
          <w:b/>
          <w:bCs/>
        </w:rPr>
        <w:t>of “</w:t>
      </w:r>
      <w:r w:rsidR="002151CB" w:rsidRPr="00E84E6C">
        <w:rPr>
          <w:b/>
          <w:bCs/>
        </w:rPr>
        <w:t>non-standard issue objects</w:t>
      </w:r>
      <w:r w:rsidR="002151CB" w:rsidRPr="00D0401A">
        <w:rPr>
          <w:b/>
          <w:bCs/>
        </w:rPr>
        <w:t>”.</w:t>
      </w:r>
    </w:p>
    <w:p w:rsidR="002151CB" w:rsidRDefault="007D387C" w:rsidP="007D387C">
      <w:pPr>
        <w:pStyle w:val="H23G"/>
      </w:pPr>
      <w:r>
        <w:lastRenderedPageBreak/>
        <w:tab/>
      </w:r>
      <w:r>
        <w:tab/>
      </w:r>
      <w:r w:rsidR="00661D1C">
        <w:t>Redress</w:t>
      </w:r>
    </w:p>
    <w:p w:rsidR="002151CB" w:rsidRDefault="004F246E" w:rsidP="004F246E">
      <w:pPr>
        <w:pStyle w:val="SingleTxtG"/>
      </w:pPr>
      <w:r>
        <w:t>13.</w:t>
      </w:r>
      <w:r>
        <w:tab/>
      </w:r>
      <w:r w:rsidR="002151CB" w:rsidRPr="00242729">
        <w:t>The Committee</w:t>
      </w:r>
      <w:r w:rsidR="002151CB">
        <w:t xml:space="preserve"> is concerned </w:t>
      </w:r>
      <w:r w:rsidR="0014040C">
        <w:t>at</w:t>
      </w:r>
      <w:r w:rsidR="002151CB">
        <w:t xml:space="preserve"> information that the </w:t>
      </w:r>
      <w:r w:rsidR="003F172F">
        <w:t xml:space="preserve">courts </w:t>
      </w:r>
      <w:r w:rsidR="009A55A1">
        <w:t>frequently appl</w:t>
      </w:r>
      <w:r w:rsidR="00D87E42">
        <w:t>y</w:t>
      </w:r>
      <w:r w:rsidR="003F172F">
        <w:t xml:space="preserve"> legislation </w:t>
      </w:r>
      <w:r w:rsidR="002151CB" w:rsidRPr="00D50B65">
        <w:t xml:space="preserve">in such a way that claims for redress against the State </w:t>
      </w:r>
      <w:r w:rsidR="002151CB">
        <w:t xml:space="preserve">will be statute-barred within five </w:t>
      </w:r>
      <w:r w:rsidR="002151CB" w:rsidRPr="00D50B65">
        <w:t xml:space="preserve">years </w:t>
      </w:r>
      <w:r w:rsidR="002151CB">
        <w:t xml:space="preserve">of the event that led to injury or three years from the day of the plaintiff’s knowledge of the damage. </w:t>
      </w:r>
      <w:r w:rsidR="002151CB" w:rsidRPr="00772145">
        <w:t xml:space="preserve">The Committee also notes with concern information that victims often fail to satisfy the </w:t>
      </w:r>
      <w:r w:rsidR="002151CB">
        <w:t xml:space="preserve">high standard of proof </w:t>
      </w:r>
      <w:r w:rsidR="002151CB" w:rsidRPr="00772145">
        <w:t xml:space="preserve">of </w:t>
      </w:r>
      <w:r w:rsidR="002151CB">
        <w:t xml:space="preserve">damage or </w:t>
      </w:r>
      <w:r w:rsidR="002151CB" w:rsidRPr="00772145">
        <w:t>harm</w:t>
      </w:r>
      <w:r w:rsidR="002151CB">
        <w:t xml:space="preserve"> set by the courts, even when diagnosed with </w:t>
      </w:r>
      <w:r w:rsidR="00054D10">
        <w:t>p</w:t>
      </w:r>
      <w:r w:rsidR="002151CB">
        <w:t>ost-</w:t>
      </w:r>
      <w:r w:rsidR="00054D10">
        <w:t>t</w:t>
      </w:r>
      <w:r w:rsidR="002151CB">
        <w:t xml:space="preserve">raumatic </w:t>
      </w:r>
      <w:r w:rsidR="00054D10">
        <w:t>s</w:t>
      </w:r>
      <w:r w:rsidR="002151CB">
        <w:t xml:space="preserve">tress </w:t>
      </w:r>
      <w:r w:rsidR="00054D10">
        <w:t>d</w:t>
      </w:r>
      <w:r w:rsidR="002151CB">
        <w:t xml:space="preserve">isorder, and </w:t>
      </w:r>
      <w:r w:rsidR="003031FE">
        <w:t xml:space="preserve">that </w:t>
      </w:r>
      <w:r w:rsidR="002151CB">
        <w:t xml:space="preserve">when </w:t>
      </w:r>
      <w:r w:rsidR="002151CB" w:rsidRPr="00F1717F">
        <w:t xml:space="preserve">compensation </w:t>
      </w:r>
      <w:r w:rsidR="002151CB">
        <w:t xml:space="preserve">is granted after lengthy proceedings, it is often very low. The Committee remains concerned </w:t>
      </w:r>
      <w:r w:rsidR="0014040C">
        <w:t>at</w:t>
      </w:r>
      <w:r w:rsidR="002151CB">
        <w:t xml:space="preserve"> the lack of a specific programme to provide rehabilitation to victims of torture and ill-treatment (art.</w:t>
      </w:r>
      <w:r w:rsidR="0013344D">
        <w:t> </w:t>
      </w:r>
      <w:r w:rsidR="002151CB">
        <w:t xml:space="preserve">14). </w:t>
      </w:r>
    </w:p>
    <w:p w:rsidR="002151CB" w:rsidRDefault="002151CB" w:rsidP="00012152">
      <w:pPr>
        <w:pStyle w:val="SingleTxtG"/>
      </w:pPr>
      <w:r w:rsidRPr="00E9417B">
        <w:rPr>
          <w:b/>
        </w:rPr>
        <w:t>The Committee</w:t>
      </w:r>
      <w:r>
        <w:rPr>
          <w:b/>
        </w:rPr>
        <w:t xml:space="preserve">, recalling its </w:t>
      </w:r>
      <w:r w:rsidR="00054D10">
        <w:rPr>
          <w:b/>
        </w:rPr>
        <w:t>g</w:t>
      </w:r>
      <w:r>
        <w:rPr>
          <w:b/>
        </w:rPr>
        <w:t xml:space="preserve">eneral </w:t>
      </w:r>
      <w:r w:rsidR="00054D10">
        <w:rPr>
          <w:b/>
        </w:rPr>
        <w:t>c</w:t>
      </w:r>
      <w:r>
        <w:rPr>
          <w:b/>
        </w:rPr>
        <w:t xml:space="preserve">omment </w:t>
      </w:r>
      <w:r w:rsidR="00054D10">
        <w:rPr>
          <w:b/>
        </w:rPr>
        <w:t>N</w:t>
      </w:r>
      <w:r>
        <w:rPr>
          <w:b/>
        </w:rPr>
        <w:t>o.</w:t>
      </w:r>
      <w:r w:rsidR="0013344D">
        <w:rPr>
          <w:b/>
        </w:rPr>
        <w:t> </w:t>
      </w:r>
      <w:r>
        <w:rPr>
          <w:b/>
        </w:rPr>
        <w:t>3 (2013)</w:t>
      </w:r>
      <w:r w:rsidR="00846005">
        <w:rPr>
          <w:b/>
        </w:rPr>
        <w:t xml:space="preserve"> on the implementation of article 14 by States parties</w:t>
      </w:r>
      <w:r>
        <w:rPr>
          <w:b/>
        </w:rPr>
        <w:t>,</w:t>
      </w:r>
      <w:r w:rsidRPr="00E9417B">
        <w:rPr>
          <w:b/>
        </w:rPr>
        <w:t xml:space="preserve"> urges the State party to</w:t>
      </w:r>
      <w:r>
        <w:rPr>
          <w:b/>
        </w:rPr>
        <w:t xml:space="preserve"> remove the</w:t>
      </w:r>
      <w:r w:rsidRPr="00E9417B">
        <w:rPr>
          <w:b/>
        </w:rPr>
        <w:t xml:space="preserve"> various </w:t>
      </w:r>
      <w:r>
        <w:rPr>
          <w:b/>
        </w:rPr>
        <w:t>barriers</w:t>
      </w:r>
      <w:r w:rsidRPr="00E9417B">
        <w:rPr>
          <w:b/>
        </w:rPr>
        <w:t xml:space="preserve"> </w:t>
      </w:r>
      <w:r w:rsidR="006F3959">
        <w:rPr>
          <w:b/>
        </w:rPr>
        <w:t>set up in, and through the application of,</w:t>
      </w:r>
      <w:r w:rsidR="006F3959" w:rsidRPr="00E9417B">
        <w:rPr>
          <w:b/>
        </w:rPr>
        <w:t xml:space="preserve"> </w:t>
      </w:r>
      <w:r w:rsidRPr="00E9417B">
        <w:rPr>
          <w:b/>
        </w:rPr>
        <w:t>the current legislation</w:t>
      </w:r>
      <w:r w:rsidRPr="006F3959">
        <w:rPr>
          <w:b/>
        </w:rPr>
        <w:t xml:space="preserve"> </w:t>
      </w:r>
      <w:r w:rsidR="006F3959">
        <w:rPr>
          <w:b/>
        </w:rPr>
        <w:t xml:space="preserve">that </w:t>
      </w:r>
      <w:r w:rsidRPr="006F3959">
        <w:rPr>
          <w:b/>
        </w:rPr>
        <w:t>imping</w:t>
      </w:r>
      <w:r w:rsidR="006F3959">
        <w:rPr>
          <w:b/>
        </w:rPr>
        <w:t>e</w:t>
      </w:r>
      <w:r w:rsidRPr="006F3959">
        <w:rPr>
          <w:b/>
        </w:rPr>
        <w:t xml:space="preserve"> upo</w:t>
      </w:r>
      <w:r w:rsidRPr="00E9417B">
        <w:rPr>
          <w:b/>
        </w:rPr>
        <w:t>n the exercise of the right of victims of torture and ill-treatment to a judicial remedy</w:t>
      </w:r>
      <w:r>
        <w:rPr>
          <w:b/>
        </w:rPr>
        <w:t>. To th</w:t>
      </w:r>
      <w:r w:rsidR="003031FE">
        <w:rPr>
          <w:b/>
        </w:rPr>
        <w:t>at</w:t>
      </w:r>
      <w:r>
        <w:rPr>
          <w:b/>
        </w:rPr>
        <w:t xml:space="preserve"> end, the State party should refrain </w:t>
      </w:r>
      <w:r w:rsidR="00012152">
        <w:rPr>
          <w:b/>
        </w:rPr>
        <w:t xml:space="preserve">immediately </w:t>
      </w:r>
      <w:r>
        <w:rPr>
          <w:b/>
        </w:rPr>
        <w:t xml:space="preserve">from applying </w:t>
      </w:r>
      <w:r w:rsidRPr="00750ADA">
        <w:rPr>
          <w:b/>
        </w:rPr>
        <w:t>statutes of limitation</w:t>
      </w:r>
      <w:r>
        <w:rPr>
          <w:b/>
        </w:rPr>
        <w:t xml:space="preserve"> to </w:t>
      </w:r>
      <w:r w:rsidR="003031FE">
        <w:rPr>
          <w:b/>
        </w:rPr>
        <w:t xml:space="preserve">the </w:t>
      </w:r>
      <w:r>
        <w:rPr>
          <w:b/>
        </w:rPr>
        <w:t xml:space="preserve">claims </w:t>
      </w:r>
      <w:r w:rsidR="003031FE">
        <w:rPr>
          <w:b/>
        </w:rPr>
        <w:t>made by</w:t>
      </w:r>
      <w:r>
        <w:rPr>
          <w:b/>
        </w:rPr>
        <w:t xml:space="preserve"> victims of torture or ill-treatment against the State, as well as </w:t>
      </w:r>
      <w:r w:rsidRPr="00750ADA">
        <w:rPr>
          <w:b/>
        </w:rPr>
        <w:t xml:space="preserve">inadequate judicial procedures for </w:t>
      </w:r>
      <w:r>
        <w:rPr>
          <w:b/>
          <w:lang w:val="en-US"/>
        </w:rPr>
        <w:t xml:space="preserve">proving or </w:t>
      </w:r>
      <w:r w:rsidRPr="00750ADA">
        <w:rPr>
          <w:b/>
        </w:rPr>
        <w:t>quantifying damages</w:t>
      </w:r>
      <w:r>
        <w:rPr>
          <w:b/>
          <w:lang w:val="en-US"/>
        </w:rPr>
        <w:t xml:space="preserve">. The State party should also compile </w:t>
      </w:r>
      <w:r w:rsidRPr="00520C9A">
        <w:rPr>
          <w:b/>
        </w:rPr>
        <w:t>data on the number of victims of torture and ill-treatment, including war-related victims</w:t>
      </w:r>
      <w:r w:rsidRPr="00966961">
        <w:rPr>
          <w:b/>
        </w:rPr>
        <w:t>, forcibl</w:t>
      </w:r>
      <w:r w:rsidR="00846005">
        <w:rPr>
          <w:b/>
        </w:rPr>
        <w:t>y</w:t>
      </w:r>
      <w:r w:rsidRPr="00966961">
        <w:rPr>
          <w:b/>
        </w:rPr>
        <w:t xml:space="preserve"> mobilized refugees</w:t>
      </w:r>
      <w:r w:rsidRPr="00520C9A">
        <w:rPr>
          <w:b/>
        </w:rPr>
        <w:t xml:space="preserve"> and victims among asylum</w:t>
      </w:r>
      <w:r w:rsidR="00846005">
        <w:rPr>
          <w:b/>
        </w:rPr>
        <w:t xml:space="preserve"> </w:t>
      </w:r>
      <w:r w:rsidRPr="00520C9A">
        <w:rPr>
          <w:b/>
        </w:rPr>
        <w:t>seekers, and fully assess their</w:t>
      </w:r>
      <w:r>
        <w:rPr>
          <w:b/>
        </w:rPr>
        <w:t xml:space="preserve"> needs, including </w:t>
      </w:r>
      <w:r w:rsidRPr="00520C9A">
        <w:rPr>
          <w:b/>
        </w:rPr>
        <w:t>the right to rehabilitation,</w:t>
      </w:r>
      <w:r>
        <w:rPr>
          <w:b/>
        </w:rPr>
        <w:t xml:space="preserve"> </w:t>
      </w:r>
      <w:r w:rsidRPr="00520C9A">
        <w:rPr>
          <w:b/>
        </w:rPr>
        <w:t>by ensuring that speciali</w:t>
      </w:r>
      <w:r w:rsidR="00846005">
        <w:rPr>
          <w:b/>
        </w:rPr>
        <w:t>z</w:t>
      </w:r>
      <w:r w:rsidRPr="00520C9A">
        <w:rPr>
          <w:b/>
        </w:rPr>
        <w:t>ed, holistic rehabilitation services are available, appropriate and promptly accessible without discrimination.</w:t>
      </w:r>
      <w:r w:rsidRPr="008764B1">
        <w:t xml:space="preserve"> </w:t>
      </w:r>
    </w:p>
    <w:p w:rsidR="002151CB" w:rsidRPr="00D14DD7" w:rsidRDefault="002151CB" w:rsidP="002151CB">
      <w:pPr>
        <w:pStyle w:val="H23G"/>
        <w:rPr>
          <w:rFonts w:eastAsia="Calibri"/>
          <w:lang w:eastAsia="en-GB"/>
        </w:rPr>
      </w:pPr>
      <w:r w:rsidRPr="00D14DD7">
        <w:rPr>
          <w:rFonts w:eastAsia="Calibri"/>
          <w:lang w:eastAsia="en-GB"/>
        </w:rPr>
        <w:tab/>
      </w:r>
      <w:r>
        <w:rPr>
          <w:rFonts w:eastAsia="Calibri"/>
          <w:lang w:eastAsia="en-GB"/>
        </w:rPr>
        <w:tab/>
      </w:r>
      <w:r w:rsidRPr="00D14DD7">
        <w:rPr>
          <w:rFonts w:eastAsia="Calibri"/>
          <w:lang w:eastAsia="en-GB"/>
        </w:rPr>
        <w:t xml:space="preserve">Access to a prompt asylum determination procedure </w:t>
      </w:r>
    </w:p>
    <w:p w:rsidR="002151CB" w:rsidRPr="00D14DD7" w:rsidRDefault="004F246E" w:rsidP="004F246E">
      <w:pPr>
        <w:pStyle w:val="SingleTxtG"/>
        <w:rPr>
          <w:rFonts w:eastAsia="Calibri"/>
        </w:rPr>
      </w:pPr>
      <w:r w:rsidRPr="00D14DD7">
        <w:rPr>
          <w:rFonts w:eastAsia="Calibri"/>
        </w:rPr>
        <w:t>14.</w:t>
      </w:r>
      <w:r w:rsidRPr="00D14DD7">
        <w:rPr>
          <w:rFonts w:eastAsia="Calibri"/>
        </w:rPr>
        <w:tab/>
      </w:r>
      <w:r w:rsidR="002151CB" w:rsidRPr="00D14DD7">
        <w:rPr>
          <w:rFonts w:eastAsia="Calibri"/>
          <w:lang w:eastAsia="en-GB"/>
        </w:rPr>
        <w:t xml:space="preserve">The Committee notes with serious concern the information provided by the delegation that of 16,490 persons expressing an intention to seek asylum in 2014, only 18 cases were </w:t>
      </w:r>
      <w:r w:rsidR="002151CB">
        <w:rPr>
          <w:rFonts w:eastAsia="Calibri"/>
          <w:lang w:eastAsia="en-GB"/>
        </w:rPr>
        <w:t>assessed</w:t>
      </w:r>
      <w:r w:rsidR="002151CB" w:rsidRPr="00D14DD7">
        <w:rPr>
          <w:rFonts w:eastAsia="Calibri"/>
          <w:lang w:eastAsia="en-GB"/>
        </w:rPr>
        <w:t xml:space="preserve"> and six persons were granted refuge or subsidiary protection. </w:t>
      </w:r>
      <w:r w:rsidR="00127D25">
        <w:rPr>
          <w:rFonts w:eastAsia="Calibri"/>
          <w:lang w:eastAsia="en-GB"/>
        </w:rPr>
        <w:t>It</w:t>
      </w:r>
      <w:r w:rsidR="002151CB" w:rsidRPr="00D14DD7">
        <w:rPr>
          <w:rFonts w:eastAsia="Calibri"/>
          <w:lang w:eastAsia="en-GB"/>
        </w:rPr>
        <w:t xml:space="preserve"> is concerned that the </w:t>
      </w:r>
      <w:r w:rsidR="002151CB" w:rsidRPr="00D20984">
        <w:rPr>
          <w:rFonts w:eastAsia="Calibri"/>
          <w:lang w:eastAsia="en-GB"/>
        </w:rPr>
        <w:t>human resources</w:t>
      </w:r>
      <w:r w:rsidR="002151CB" w:rsidRPr="00D14DD7">
        <w:rPr>
          <w:rFonts w:eastAsia="Calibri"/>
          <w:lang w:eastAsia="en-GB"/>
        </w:rPr>
        <w:t xml:space="preserve"> of the Asylum Office </w:t>
      </w:r>
      <w:r w:rsidR="00D20984">
        <w:rPr>
          <w:rFonts w:eastAsia="Calibri"/>
          <w:lang w:eastAsia="en-GB"/>
        </w:rPr>
        <w:t>are insufficient to</w:t>
      </w:r>
      <w:r w:rsidR="00D20984" w:rsidRPr="00D14DD7">
        <w:rPr>
          <w:rFonts w:eastAsia="Calibri"/>
          <w:lang w:eastAsia="en-GB"/>
        </w:rPr>
        <w:t xml:space="preserve"> </w:t>
      </w:r>
      <w:r w:rsidR="002151CB" w:rsidRPr="00D14DD7">
        <w:rPr>
          <w:rFonts w:eastAsia="Calibri"/>
          <w:lang w:eastAsia="en-GB"/>
        </w:rPr>
        <w:t xml:space="preserve">respond </w:t>
      </w:r>
      <w:r w:rsidR="00127D25" w:rsidRPr="00127D25">
        <w:rPr>
          <w:rFonts w:eastAsia="Calibri"/>
          <w:lang w:eastAsia="en-GB"/>
        </w:rPr>
        <w:t>adequately</w:t>
      </w:r>
      <w:r w:rsidR="00127D25">
        <w:rPr>
          <w:rFonts w:eastAsia="Calibri"/>
          <w:lang w:eastAsia="en-GB"/>
        </w:rPr>
        <w:t xml:space="preserve"> </w:t>
      </w:r>
      <w:r w:rsidR="002151CB" w:rsidRPr="00D14DD7">
        <w:rPr>
          <w:rFonts w:eastAsia="Calibri"/>
          <w:lang w:eastAsia="en-GB"/>
        </w:rPr>
        <w:t>to the growing number of asylum</w:t>
      </w:r>
      <w:r w:rsidR="00127D25">
        <w:rPr>
          <w:rFonts w:eastAsia="Calibri"/>
          <w:lang w:eastAsia="en-GB"/>
        </w:rPr>
        <w:t xml:space="preserve"> </w:t>
      </w:r>
      <w:r w:rsidR="002151CB" w:rsidRPr="00D14DD7">
        <w:rPr>
          <w:rFonts w:eastAsia="Calibri"/>
          <w:lang w:eastAsia="en-GB"/>
        </w:rPr>
        <w:t xml:space="preserve">seekers, resulting in the failure to promptly register </w:t>
      </w:r>
      <w:r w:rsidR="00127D25">
        <w:rPr>
          <w:rFonts w:eastAsia="Calibri"/>
          <w:lang w:eastAsia="en-GB"/>
        </w:rPr>
        <w:t>asylum s</w:t>
      </w:r>
      <w:r w:rsidR="00127D25" w:rsidRPr="00D20984">
        <w:rPr>
          <w:rFonts w:eastAsia="Calibri"/>
          <w:lang w:eastAsia="en-GB"/>
        </w:rPr>
        <w:t>eekers</w:t>
      </w:r>
      <w:r w:rsidR="002151CB" w:rsidRPr="00D14DD7">
        <w:rPr>
          <w:rFonts w:eastAsia="Calibri"/>
          <w:lang w:eastAsia="en-GB"/>
        </w:rPr>
        <w:t xml:space="preserve"> and to enable </w:t>
      </w:r>
      <w:r w:rsidR="00370575">
        <w:rPr>
          <w:rFonts w:eastAsia="Calibri"/>
          <w:lang w:eastAsia="en-GB"/>
        </w:rPr>
        <w:t>those</w:t>
      </w:r>
      <w:r w:rsidR="002151CB" w:rsidRPr="00D14DD7">
        <w:rPr>
          <w:rFonts w:eastAsia="Calibri"/>
          <w:lang w:eastAsia="en-GB"/>
        </w:rPr>
        <w:t xml:space="preserve"> at the asylum reception centres to submit an asylum application</w:t>
      </w:r>
      <w:r w:rsidR="003B79C5">
        <w:rPr>
          <w:rFonts w:eastAsia="Calibri"/>
          <w:lang w:eastAsia="en-GB"/>
        </w:rPr>
        <w:t>.</w:t>
      </w:r>
      <w:r w:rsidR="002151CB" w:rsidRPr="00D14DD7">
        <w:rPr>
          <w:rFonts w:eastAsia="Calibri"/>
          <w:lang w:eastAsia="en-GB"/>
        </w:rPr>
        <w:t xml:space="preserve"> The Committee also takes into account reports that </w:t>
      </w:r>
      <w:r w:rsidR="002A7C62">
        <w:rPr>
          <w:rFonts w:eastAsia="Calibri"/>
          <w:lang w:eastAsia="en-GB"/>
        </w:rPr>
        <w:t>many</w:t>
      </w:r>
      <w:r w:rsidR="002151CB" w:rsidRPr="00D14DD7">
        <w:rPr>
          <w:rFonts w:eastAsia="Calibri"/>
          <w:lang w:eastAsia="en-GB"/>
        </w:rPr>
        <w:t xml:space="preserve"> potential asylum</w:t>
      </w:r>
      <w:r w:rsidR="00370575">
        <w:rPr>
          <w:rFonts w:eastAsia="Calibri"/>
          <w:lang w:eastAsia="en-GB"/>
        </w:rPr>
        <w:t xml:space="preserve"> </w:t>
      </w:r>
      <w:r w:rsidR="002151CB" w:rsidRPr="00D14DD7">
        <w:rPr>
          <w:rFonts w:eastAsia="Calibri"/>
          <w:lang w:eastAsia="en-GB"/>
        </w:rPr>
        <w:t xml:space="preserve">seekers </w:t>
      </w:r>
      <w:r w:rsidR="00A604B1">
        <w:rPr>
          <w:rFonts w:eastAsia="Calibri"/>
          <w:lang w:eastAsia="en-GB"/>
        </w:rPr>
        <w:t>incur</w:t>
      </w:r>
      <w:r w:rsidR="002151CB" w:rsidRPr="00D14DD7">
        <w:rPr>
          <w:rFonts w:eastAsia="Calibri"/>
          <w:lang w:eastAsia="en-GB"/>
        </w:rPr>
        <w:t xml:space="preserve"> penal</w:t>
      </w:r>
      <w:r w:rsidR="00A604B1">
        <w:rPr>
          <w:rFonts w:eastAsia="Calibri"/>
          <w:lang w:eastAsia="en-GB"/>
        </w:rPr>
        <w:t>ties</w:t>
      </w:r>
      <w:r w:rsidR="002151CB" w:rsidRPr="00D14DD7">
        <w:rPr>
          <w:rFonts w:eastAsia="Calibri"/>
          <w:lang w:eastAsia="en-GB"/>
        </w:rPr>
        <w:t xml:space="preserve"> for their illegal stay</w:t>
      </w:r>
      <w:r w:rsidR="00A604B1">
        <w:rPr>
          <w:rFonts w:eastAsia="Calibri"/>
          <w:lang w:eastAsia="en-GB"/>
        </w:rPr>
        <w:t>,</w:t>
      </w:r>
      <w:r w:rsidR="002151CB" w:rsidRPr="00D14DD7">
        <w:rPr>
          <w:rFonts w:eastAsia="Calibri"/>
          <w:lang w:eastAsia="en-GB"/>
        </w:rPr>
        <w:t xml:space="preserve"> </w:t>
      </w:r>
      <w:r w:rsidR="002151CB" w:rsidRPr="00A604B1">
        <w:rPr>
          <w:rFonts w:eastAsia="Calibri"/>
          <w:lang w:eastAsia="en-GB"/>
        </w:rPr>
        <w:t>i</w:t>
      </w:r>
      <w:r w:rsidR="00A604B1">
        <w:rPr>
          <w:rFonts w:eastAsia="Calibri"/>
          <w:lang w:eastAsia="en-GB"/>
        </w:rPr>
        <w:t>mposed in</w:t>
      </w:r>
      <w:r w:rsidR="002151CB" w:rsidRPr="00D14DD7">
        <w:rPr>
          <w:rFonts w:eastAsia="Calibri"/>
          <w:lang w:eastAsia="en-GB"/>
        </w:rPr>
        <w:t xml:space="preserve"> misdemeano</w:t>
      </w:r>
      <w:r w:rsidR="00127D25">
        <w:rPr>
          <w:rFonts w:eastAsia="Calibri"/>
          <w:lang w:eastAsia="en-GB"/>
        </w:rPr>
        <w:t>u</w:t>
      </w:r>
      <w:r w:rsidR="002151CB" w:rsidRPr="00D14DD7">
        <w:rPr>
          <w:rFonts w:eastAsia="Calibri"/>
          <w:lang w:eastAsia="en-GB"/>
        </w:rPr>
        <w:t xml:space="preserve">r court proceedings </w:t>
      </w:r>
      <w:r w:rsidR="00370575">
        <w:rPr>
          <w:rFonts w:eastAsia="Calibri"/>
          <w:lang w:eastAsia="en-GB"/>
        </w:rPr>
        <w:t>during which</w:t>
      </w:r>
      <w:r w:rsidR="00370575" w:rsidRPr="00D14DD7">
        <w:rPr>
          <w:rFonts w:eastAsia="Calibri"/>
          <w:lang w:eastAsia="en-GB"/>
        </w:rPr>
        <w:t xml:space="preserve"> </w:t>
      </w:r>
      <w:r w:rsidR="00A604B1">
        <w:rPr>
          <w:rFonts w:eastAsia="Calibri"/>
          <w:lang w:eastAsia="en-GB"/>
        </w:rPr>
        <w:t>asylum seekers</w:t>
      </w:r>
      <w:r w:rsidR="00A604B1" w:rsidRPr="00D14DD7">
        <w:rPr>
          <w:rFonts w:eastAsia="Calibri"/>
          <w:lang w:eastAsia="en-GB"/>
        </w:rPr>
        <w:t xml:space="preserve"> </w:t>
      </w:r>
      <w:r w:rsidR="002151CB" w:rsidRPr="00D14DD7">
        <w:rPr>
          <w:rFonts w:eastAsia="Calibri"/>
          <w:lang w:eastAsia="en-GB"/>
        </w:rPr>
        <w:t xml:space="preserve">do not enjoy free legal aid or effective information provided through interpretation services about the possibility of seeking asylum or the risk of being expelled. </w:t>
      </w:r>
      <w:r w:rsidR="002151CB">
        <w:rPr>
          <w:rFonts w:eastAsia="Calibri"/>
          <w:lang w:eastAsia="en-GB"/>
        </w:rPr>
        <w:t>The Committee also notes that</w:t>
      </w:r>
      <w:r w:rsidR="002151CB" w:rsidRPr="00D14DD7">
        <w:rPr>
          <w:rFonts w:eastAsia="Calibri"/>
          <w:lang w:eastAsia="en-GB"/>
        </w:rPr>
        <w:t xml:space="preserve"> asylum</w:t>
      </w:r>
      <w:r w:rsidR="00370575">
        <w:rPr>
          <w:rFonts w:eastAsia="Calibri"/>
          <w:lang w:eastAsia="en-GB"/>
        </w:rPr>
        <w:t xml:space="preserve"> </w:t>
      </w:r>
      <w:r w:rsidR="002151CB" w:rsidRPr="00D14DD7">
        <w:rPr>
          <w:rFonts w:eastAsia="Calibri"/>
          <w:lang w:eastAsia="en-GB"/>
        </w:rPr>
        <w:t>seekers detained at Nikola Tesla Airport do not enjoy th</w:t>
      </w:r>
      <w:r w:rsidR="003031FE">
        <w:rPr>
          <w:rFonts w:eastAsia="Calibri"/>
          <w:lang w:eastAsia="en-GB"/>
        </w:rPr>
        <w:t>o</w:t>
      </w:r>
      <w:r w:rsidR="002151CB" w:rsidRPr="00D14DD7">
        <w:rPr>
          <w:rFonts w:eastAsia="Calibri"/>
          <w:lang w:eastAsia="en-GB"/>
        </w:rPr>
        <w:t>se</w:t>
      </w:r>
      <w:r w:rsidR="002151CB">
        <w:rPr>
          <w:rFonts w:eastAsia="Calibri"/>
          <w:lang w:eastAsia="en-GB"/>
        </w:rPr>
        <w:t xml:space="preserve"> rights either and are not provided with</w:t>
      </w:r>
      <w:r w:rsidR="002151CB" w:rsidRPr="00D14DD7">
        <w:rPr>
          <w:rFonts w:eastAsia="Calibri"/>
          <w:lang w:eastAsia="en-GB"/>
        </w:rPr>
        <w:t xml:space="preserve"> a detention order or an expulsion order that they could challenge </w:t>
      </w:r>
      <w:r w:rsidR="002151CB" w:rsidRPr="00D14DD7">
        <w:rPr>
          <w:rFonts w:eastAsia="Calibri"/>
        </w:rPr>
        <w:t>(arts. 2, 3 and 16).</w:t>
      </w:r>
    </w:p>
    <w:p w:rsidR="002151CB" w:rsidRPr="00D14DD7" w:rsidRDefault="002151CB" w:rsidP="002151CB">
      <w:pPr>
        <w:pStyle w:val="SingleTxtG"/>
        <w:rPr>
          <w:rFonts w:eastAsia="Calibri"/>
          <w:b/>
          <w:lang w:eastAsia="en-GB"/>
        </w:rPr>
      </w:pPr>
      <w:r w:rsidRPr="00D14DD7">
        <w:rPr>
          <w:rFonts w:eastAsia="Calibri"/>
          <w:b/>
          <w:lang w:eastAsia="en-GB"/>
        </w:rPr>
        <w:t xml:space="preserve">The State party should </w:t>
      </w:r>
      <w:r w:rsidRPr="00D14DD7">
        <w:rPr>
          <w:b/>
          <w:bCs/>
        </w:rPr>
        <w:t xml:space="preserve">continue and intensify its efforts to </w:t>
      </w:r>
      <w:r w:rsidRPr="00D14DD7">
        <w:rPr>
          <w:rFonts w:eastAsia="Calibri"/>
          <w:b/>
          <w:lang w:eastAsia="en-GB"/>
        </w:rPr>
        <w:t xml:space="preserve">facilitate access to a prompt and fair individualized asylum determination procedure in order to avoid the risk of </w:t>
      </w:r>
      <w:proofErr w:type="spellStart"/>
      <w:r w:rsidRPr="00D14DD7">
        <w:rPr>
          <w:rFonts w:eastAsia="Calibri"/>
          <w:b/>
          <w:lang w:eastAsia="en-GB"/>
        </w:rPr>
        <w:t>refoulement</w:t>
      </w:r>
      <w:proofErr w:type="spellEnd"/>
      <w:r w:rsidRPr="00D14DD7">
        <w:rPr>
          <w:rFonts w:eastAsia="Calibri"/>
          <w:b/>
          <w:lang w:eastAsia="en-GB"/>
        </w:rPr>
        <w:t>. To this end, the State party should:</w:t>
      </w:r>
    </w:p>
    <w:p w:rsidR="002151CB" w:rsidRPr="00D14DD7" w:rsidRDefault="002151CB" w:rsidP="003031FE">
      <w:pPr>
        <w:pStyle w:val="SingleTxtG"/>
        <w:ind w:firstLine="567"/>
        <w:rPr>
          <w:rFonts w:eastAsia="Calibri"/>
          <w:b/>
          <w:lang w:eastAsia="en-GB"/>
        </w:rPr>
      </w:pPr>
      <w:r w:rsidRPr="00D0401A">
        <w:rPr>
          <w:rFonts w:eastAsia="Calibri"/>
          <w:bCs/>
          <w:lang w:eastAsia="en-GB"/>
        </w:rPr>
        <w:t>(a)</w:t>
      </w:r>
      <w:r w:rsidRPr="00D14DD7">
        <w:rPr>
          <w:rFonts w:eastAsia="Calibri"/>
          <w:b/>
          <w:lang w:eastAsia="en-GB"/>
        </w:rPr>
        <w:tab/>
        <w:t xml:space="preserve">Ensure that the Asylum Office is supported with personnel and financial and technical resources </w:t>
      </w:r>
      <w:r w:rsidR="003031FE">
        <w:rPr>
          <w:rFonts w:eastAsia="Calibri"/>
          <w:b/>
          <w:lang w:eastAsia="en-GB"/>
        </w:rPr>
        <w:t xml:space="preserve">sufficient </w:t>
      </w:r>
      <w:r w:rsidRPr="00D14DD7">
        <w:rPr>
          <w:rFonts w:eastAsia="Calibri"/>
          <w:b/>
          <w:lang w:eastAsia="en-GB"/>
        </w:rPr>
        <w:t>to be able to register asylum</w:t>
      </w:r>
      <w:r w:rsidR="00370575">
        <w:rPr>
          <w:rFonts w:eastAsia="Calibri"/>
          <w:b/>
          <w:lang w:eastAsia="en-GB"/>
        </w:rPr>
        <w:t xml:space="preserve"> </w:t>
      </w:r>
      <w:r w:rsidRPr="00D14DD7">
        <w:rPr>
          <w:rFonts w:eastAsia="Calibri"/>
          <w:b/>
          <w:lang w:eastAsia="en-GB"/>
        </w:rPr>
        <w:t>seekers</w:t>
      </w:r>
      <w:r w:rsidR="00370575">
        <w:rPr>
          <w:rFonts w:eastAsia="Calibri"/>
          <w:b/>
          <w:lang w:eastAsia="en-GB"/>
        </w:rPr>
        <w:t xml:space="preserve"> in a timely manner</w:t>
      </w:r>
      <w:r w:rsidRPr="00D14DD7">
        <w:rPr>
          <w:rFonts w:eastAsia="Calibri"/>
          <w:b/>
          <w:lang w:eastAsia="en-GB"/>
        </w:rPr>
        <w:t>, promptly issue their identity cards, conduct individualized interviews with the support of interpretat</w:t>
      </w:r>
      <w:r w:rsidR="00370575">
        <w:rPr>
          <w:rFonts w:eastAsia="Calibri"/>
          <w:b/>
          <w:lang w:eastAsia="en-GB"/>
        </w:rPr>
        <w:t>ion</w:t>
      </w:r>
      <w:r w:rsidRPr="00D14DD7">
        <w:rPr>
          <w:rFonts w:eastAsia="Calibri"/>
          <w:b/>
          <w:lang w:eastAsia="en-GB"/>
        </w:rPr>
        <w:t xml:space="preserve"> services and issue refugee status decisions within a reasonable time. The State should address these deficiencies in the new </w:t>
      </w:r>
      <w:r w:rsidR="00370575">
        <w:rPr>
          <w:rFonts w:eastAsia="Calibri"/>
          <w:b/>
          <w:lang w:eastAsia="en-GB"/>
        </w:rPr>
        <w:t>d</w:t>
      </w:r>
      <w:r w:rsidRPr="00D14DD7">
        <w:rPr>
          <w:rFonts w:eastAsia="Calibri"/>
          <w:b/>
          <w:lang w:eastAsia="en-GB"/>
        </w:rPr>
        <w:t xml:space="preserve">raft </w:t>
      </w:r>
      <w:r w:rsidR="00370575">
        <w:rPr>
          <w:rFonts w:eastAsia="Calibri"/>
          <w:b/>
          <w:lang w:eastAsia="en-GB"/>
        </w:rPr>
        <w:t>l</w:t>
      </w:r>
      <w:r w:rsidRPr="00D14DD7">
        <w:rPr>
          <w:rFonts w:eastAsia="Calibri"/>
          <w:b/>
          <w:lang w:eastAsia="en-GB"/>
        </w:rPr>
        <w:t xml:space="preserve">aw on </w:t>
      </w:r>
      <w:r w:rsidR="00370575">
        <w:rPr>
          <w:rFonts w:eastAsia="Calibri"/>
          <w:b/>
          <w:lang w:eastAsia="en-GB"/>
        </w:rPr>
        <w:t>a</w:t>
      </w:r>
      <w:r w:rsidRPr="00D14DD7">
        <w:rPr>
          <w:rFonts w:eastAsia="Calibri"/>
          <w:b/>
          <w:lang w:eastAsia="en-GB"/>
        </w:rPr>
        <w:t>sylum, including the lack of time-bound obligations;</w:t>
      </w:r>
    </w:p>
    <w:p w:rsidR="002151CB" w:rsidRPr="00D14DD7" w:rsidRDefault="002151CB" w:rsidP="00D0401A">
      <w:pPr>
        <w:pStyle w:val="SingleTxtG"/>
        <w:ind w:firstLine="567"/>
        <w:rPr>
          <w:rFonts w:eastAsia="Calibri"/>
          <w:b/>
          <w:lang w:eastAsia="en-GB"/>
        </w:rPr>
      </w:pPr>
      <w:r w:rsidRPr="00D0401A">
        <w:rPr>
          <w:rFonts w:eastAsia="Calibri"/>
          <w:bCs/>
          <w:lang w:eastAsia="en-GB"/>
        </w:rPr>
        <w:t>(b)</w:t>
      </w:r>
      <w:r w:rsidRPr="00D14DD7">
        <w:rPr>
          <w:rFonts w:eastAsia="Calibri"/>
          <w:b/>
          <w:lang w:eastAsia="en-GB"/>
        </w:rPr>
        <w:tab/>
        <w:t xml:space="preserve">Establish and ensure the implementation of a standardized and accessible asylum and referral procedure </w:t>
      </w:r>
      <w:r w:rsidR="00F74ED9">
        <w:rPr>
          <w:rFonts w:eastAsia="Calibri"/>
          <w:b/>
          <w:lang w:eastAsia="en-GB"/>
        </w:rPr>
        <w:t>in</w:t>
      </w:r>
      <w:r w:rsidRPr="00D14DD7">
        <w:rPr>
          <w:rFonts w:eastAsia="Calibri"/>
          <w:b/>
          <w:lang w:eastAsia="en-GB"/>
        </w:rPr>
        <w:t xml:space="preserve"> international airports and transit zones;</w:t>
      </w:r>
    </w:p>
    <w:p w:rsidR="002151CB" w:rsidRPr="00D14DD7" w:rsidRDefault="002151CB" w:rsidP="003031FE">
      <w:pPr>
        <w:pStyle w:val="SingleTxtG"/>
        <w:ind w:firstLine="567"/>
        <w:rPr>
          <w:rFonts w:eastAsia="Calibri"/>
          <w:b/>
          <w:lang w:eastAsia="en-GB"/>
        </w:rPr>
      </w:pPr>
      <w:r w:rsidRPr="00D0401A">
        <w:rPr>
          <w:rFonts w:eastAsia="Calibri"/>
          <w:bCs/>
          <w:lang w:eastAsia="en-GB"/>
        </w:rPr>
        <w:t>(c)</w:t>
      </w:r>
      <w:r w:rsidRPr="00D14DD7">
        <w:rPr>
          <w:rFonts w:eastAsia="Calibri"/>
          <w:b/>
          <w:lang w:eastAsia="en-GB"/>
        </w:rPr>
        <w:tab/>
      </w:r>
      <w:r w:rsidRPr="00D14DD7">
        <w:rPr>
          <w:b/>
          <w:bCs/>
        </w:rPr>
        <w:t xml:space="preserve">Guarantee access to independent, qualified and free-of-charge legal assistance and interpretation services for asylum seekers </w:t>
      </w:r>
      <w:r w:rsidR="003031FE">
        <w:rPr>
          <w:b/>
          <w:bCs/>
        </w:rPr>
        <w:t>throughout</w:t>
      </w:r>
      <w:r w:rsidR="003031FE" w:rsidRPr="00D14DD7">
        <w:rPr>
          <w:b/>
          <w:bCs/>
        </w:rPr>
        <w:t xml:space="preserve"> </w:t>
      </w:r>
      <w:r w:rsidRPr="00D14DD7">
        <w:rPr>
          <w:b/>
          <w:bCs/>
        </w:rPr>
        <w:t xml:space="preserve">the asylum </w:t>
      </w:r>
      <w:r w:rsidRPr="00D14DD7">
        <w:rPr>
          <w:b/>
          <w:bCs/>
        </w:rPr>
        <w:lastRenderedPageBreak/>
        <w:t>procedure, as well as in misdeme</w:t>
      </w:r>
      <w:r w:rsidR="00F74ED9">
        <w:rPr>
          <w:b/>
          <w:bCs/>
        </w:rPr>
        <w:t>a</w:t>
      </w:r>
      <w:r w:rsidRPr="00D14DD7">
        <w:rPr>
          <w:b/>
          <w:bCs/>
        </w:rPr>
        <w:t>nour proceedings and when</w:t>
      </w:r>
      <w:r w:rsidR="003031FE">
        <w:rPr>
          <w:b/>
          <w:bCs/>
        </w:rPr>
        <w:t xml:space="preserve"> they are</w:t>
      </w:r>
      <w:r w:rsidRPr="00D14DD7">
        <w:rPr>
          <w:b/>
          <w:bCs/>
        </w:rPr>
        <w:t xml:space="preserve"> </w:t>
      </w:r>
      <w:r w:rsidR="00F74ED9">
        <w:rPr>
          <w:b/>
          <w:bCs/>
        </w:rPr>
        <w:t>d</w:t>
      </w:r>
      <w:r w:rsidRPr="00D14DD7">
        <w:rPr>
          <w:b/>
          <w:bCs/>
        </w:rPr>
        <w:t xml:space="preserve">etained at the airport, in order to </w:t>
      </w:r>
      <w:r w:rsidR="00F74ED9">
        <w:rPr>
          <w:b/>
          <w:bCs/>
        </w:rPr>
        <w:t xml:space="preserve">enable </w:t>
      </w:r>
      <w:r w:rsidR="003031FE">
        <w:rPr>
          <w:b/>
          <w:bCs/>
        </w:rPr>
        <w:t>them</w:t>
      </w:r>
      <w:r w:rsidR="00F74ED9">
        <w:rPr>
          <w:b/>
          <w:bCs/>
        </w:rPr>
        <w:t xml:space="preserve"> to </w:t>
      </w:r>
      <w:r w:rsidRPr="00D14DD7">
        <w:rPr>
          <w:b/>
          <w:bCs/>
        </w:rPr>
        <w:t>challenge the lawfulness of their d</w:t>
      </w:r>
      <w:r>
        <w:rPr>
          <w:b/>
          <w:bCs/>
        </w:rPr>
        <w:t>eportation and detention orders.</w:t>
      </w:r>
      <w:r w:rsidRPr="00D14DD7">
        <w:rPr>
          <w:rFonts w:eastAsia="Calibri"/>
          <w:b/>
          <w:lang w:eastAsia="en-GB"/>
        </w:rPr>
        <w:t xml:space="preserve"> </w:t>
      </w:r>
    </w:p>
    <w:p w:rsidR="002151CB" w:rsidRPr="00D14DD7" w:rsidRDefault="007D387C" w:rsidP="007D387C">
      <w:pPr>
        <w:pStyle w:val="H23G"/>
      </w:pPr>
      <w:r>
        <w:tab/>
      </w:r>
      <w:r>
        <w:tab/>
      </w:r>
      <w:r w:rsidR="002151CB" w:rsidRPr="00D14DD7">
        <w:t>Non-</w:t>
      </w:r>
      <w:proofErr w:type="spellStart"/>
      <w:r w:rsidR="002151CB" w:rsidRPr="00D14DD7">
        <w:t>refoulement</w:t>
      </w:r>
      <w:proofErr w:type="spellEnd"/>
    </w:p>
    <w:p w:rsidR="002151CB" w:rsidRPr="00D14DD7" w:rsidRDefault="004F246E" w:rsidP="004F246E">
      <w:pPr>
        <w:pStyle w:val="SingleTxtG"/>
      </w:pPr>
      <w:r w:rsidRPr="00D14DD7">
        <w:t>15.</w:t>
      </w:r>
      <w:r w:rsidRPr="00D14DD7">
        <w:tab/>
      </w:r>
      <w:r w:rsidR="002151CB" w:rsidRPr="00D14DD7">
        <w:t>Noting the Supreme Court’s decision that expulsion to a “safe third country” should be contingent on the asylum officer’s obligation to assess the situation on a case-by-case basis, the Committee is concerned at reports that, in practice, the safe third country rule is almost automatically applied.</w:t>
      </w:r>
      <w:r w:rsidR="003E40EF">
        <w:t xml:space="preserve"> </w:t>
      </w:r>
      <w:r w:rsidR="002151CB" w:rsidRPr="00D14DD7">
        <w:t xml:space="preserve">Moreover, the Committee </w:t>
      </w:r>
      <w:r w:rsidR="002151CB">
        <w:t>is concerned</w:t>
      </w:r>
      <w:r w:rsidR="002151CB" w:rsidRPr="00D14DD7">
        <w:t xml:space="preserve"> </w:t>
      </w:r>
      <w:r w:rsidR="007A425D">
        <w:t>about</w:t>
      </w:r>
      <w:r w:rsidR="002151CB" w:rsidRPr="00D14DD7">
        <w:rPr>
          <w:rFonts w:eastAsia="Calibri"/>
          <w:lang w:eastAsia="en-GB"/>
        </w:rPr>
        <w:t xml:space="preserve"> the State party’s implementation of its forced return procedures and </w:t>
      </w:r>
      <w:r w:rsidR="007A425D">
        <w:rPr>
          <w:rFonts w:eastAsia="Calibri"/>
          <w:lang w:eastAsia="en-GB"/>
        </w:rPr>
        <w:t>at</w:t>
      </w:r>
      <w:r w:rsidR="007A425D" w:rsidRPr="00D14DD7">
        <w:rPr>
          <w:rFonts w:eastAsia="Calibri"/>
          <w:lang w:eastAsia="en-GB"/>
        </w:rPr>
        <w:t xml:space="preserve"> </w:t>
      </w:r>
      <w:r w:rsidR="002151CB" w:rsidRPr="00D14DD7">
        <w:rPr>
          <w:rFonts w:eastAsia="Calibri"/>
          <w:lang w:eastAsia="en-GB"/>
        </w:rPr>
        <w:t>reports of ill-treatment, including beatings and extortion of money, of undocumented migrants by law enforcement officials</w:t>
      </w:r>
      <w:r w:rsidR="002151CB" w:rsidRPr="00D14DD7">
        <w:t>.</w:t>
      </w:r>
      <w:r w:rsidR="002151CB" w:rsidRPr="00D14DD7">
        <w:rPr>
          <w:rFonts w:eastAsia="Calibri"/>
          <w:lang w:eastAsia="en-GB"/>
        </w:rPr>
        <w:t xml:space="preserve"> It is also concerned </w:t>
      </w:r>
      <w:r w:rsidR="0014040C">
        <w:rPr>
          <w:rFonts w:eastAsia="Calibri"/>
          <w:lang w:eastAsia="en-GB"/>
        </w:rPr>
        <w:t>at</w:t>
      </w:r>
      <w:r w:rsidR="002151CB" w:rsidRPr="00D14DD7">
        <w:rPr>
          <w:rFonts w:eastAsia="Calibri"/>
          <w:lang w:eastAsia="en-GB"/>
        </w:rPr>
        <w:t xml:space="preserve"> information that persons expelled from Hungary </w:t>
      </w:r>
      <w:r w:rsidR="002151CB">
        <w:rPr>
          <w:rFonts w:eastAsia="Calibri"/>
          <w:lang w:eastAsia="en-GB"/>
        </w:rPr>
        <w:t>into</w:t>
      </w:r>
      <w:r w:rsidR="002151CB" w:rsidRPr="00D14DD7">
        <w:rPr>
          <w:rFonts w:eastAsia="Calibri"/>
          <w:lang w:eastAsia="en-GB"/>
        </w:rPr>
        <w:t xml:space="preserve"> Serbia are subjected to forced return to the </w:t>
      </w:r>
      <w:r w:rsidR="00F74ED9">
        <w:t>f</w:t>
      </w:r>
      <w:r w:rsidR="002151CB" w:rsidRPr="00D14DD7">
        <w:t xml:space="preserve">ormer Yugoslav Republic of Macedonia, in application of the </w:t>
      </w:r>
      <w:r w:rsidR="002151CB" w:rsidRPr="00D14DD7">
        <w:rPr>
          <w:rFonts w:eastAsia="Calibri"/>
          <w:lang w:eastAsia="en-GB"/>
        </w:rPr>
        <w:t xml:space="preserve">readmission agreements, without effective procedural guarantees to </w:t>
      </w:r>
      <w:r w:rsidR="00F74ED9">
        <w:rPr>
          <w:rFonts w:eastAsia="Calibri"/>
          <w:lang w:eastAsia="en-GB"/>
        </w:rPr>
        <w:t xml:space="preserve">gain </w:t>
      </w:r>
      <w:r w:rsidR="002151CB" w:rsidRPr="00D14DD7">
        <w:rPr>
          <w:rFonts w:eastAsia="Calibri"/>
          <w:lang w:eastAsia="en-GB"/>
        </w:rPr>
        <w:t xml:space="preserve">access </w:t>
      </w:r>
      <w:r w:rsidR="00F74ED9">
        <w:rPr>
          <w:rFonts w:eastAsia="Calibri"/>
          <w:lang w:eastAsia="en-GB"/>
        </w:rPr>
        <w:t xml:space="preserve">to </w:t>
      </w:r>
      <w:r w:rsidR="002151CB" w:rsidRPr="00D14DD7">
        <w:rPr>
          <w:rFonts w:eastAsia="Calibri"/>
          <w:lang w:eastAsia="en-GB"/>
        </w:rPr>
        <w:t>legal remedies against the decision, free legal aid or information provided through interpretation services. The Committee is concerned that th</w:t>
      </w:r>
      <w:r w:rsidR="007A425D">
        <w:rPr>
          <w:rFonts w:eastAsia="Calibri"/>
          <w:lang w:eastAsia="en-GB"/>
        </w:rPr>
        <w:t>o</w:t>
      </w:r>
      <w:r w:rsidR="002151CB" w:rsidRPr="00D14DD7">
        <w:rPr>
          <w:rFonts w:eastAsia="Calibri"/>
          <w:lang w:eastAsia="en-GB"/>
        </w:rPr>
        <w:t xml:space="preserve">se individuals are at a heightened risk of </w:t>
      </w:r>
      <w:proofErr w:type="spellStart"/>
      <w:r w:rsidR="002151CB" w:rsidRPr="00D14DD7">
        <w:rPr>
          <w:rFonts w:eastAsia="Calibri"/>
          <w:iCs/>
          <w:lang w:eastAsia="en-GB"/>
        </w:rPr>
        <w:t>refoulement</w:t>
      </w:r>
      <w:proofErr w:type="spellEnd"/>
      <w:r w:rsidR="002151CB" w:rsidRPr="00D14DD7">
        <w:rPr>
          <w:rFonts w:eastAsia="Calibri"/>
          <w:iCs/>
          <w:lang w:eastAsia="en-GB"/>
        </w:rPr>
        <w:t xml:space="preserve">, including chain </w:t>
      </w:r>
      <w:proofErr w:type="spellStart"/>
      <w:r w:rsidR="002151CB" w:rsidRPr="00D14DD7">
        <w:rPr>
          <w:rFonts w:eastAsia="Calibri"/>
          <w:iCs/>
          <w:lang w:eastAsia="en-GB"/>
        </w:rPr>
        <w:t>refoulement</w:t>
      </w:r>
      <w:proofErr w:type="spellEnd"/>
      <w:r w:rsidR="002151CB" w:rsidRPr="00D14DD7">
        <w:t xml:space="preserve"> (art</w:t>
      </w:r>
      <w:r w:rsidR="00711872">
        <w:t>s</w:t>
      </w:r>
      <w:r w:rsidR="002151CB" w:rsidRPr="00D14DD7">
        <w:t>.</w:t>
      </w:r>
      <w:r w:rsidR="00711872">
        <w:t> </w:t>
      </w:r>
      <w:r w:rsidR="002151CB">
        <w:t>2, 3 and</w:t>
      </w:r>
      <w:r w:rsidR="002151CB" w:rsidRPr="00D14DD7">
        <w:t xml:space="preserve"> 16). </w:t>
      </w:r>
    </w:p>
    <w:p w:rsidR="002151CB" w:rsidRPr="009F56C7" w:rsidRDefault="002151CB" w:rsidP="00E05E22">
      <w:pPr>
        <w:pStyle w:val="SingleTxtG"/>
        <w:rPr>
          <w:rFonts w:eastAsia="Calibri"/>
          <w:b/>
          <w:iCs/>
          <w:lang w:eastAsia="en-GB"/>
        </w:rPr>
      </w:pPr>
      <w:r w:rsidRPr="00D14DD7">
        <w:rPr>
          <w:b/>
        </w:rPr>
        <w:t xml:space="preserve">The Committee calls on the State party to ensure that the asylum determination procedure provides for a substantive review </w:t>
      </w:r>
      <w:r w:rsidRPr="006011F2">
        <w:rPr>
          <w:b/>
        </w:rPr>
        <w:t>of application</w:t>
      </w:r>
      <w:r w:rsidR="006011F2">
        <w:rPr>
          <w:b/>
        </w:rPr>
        <w:t>s</w:t>
      </w:r>
      <w:r w:rsidRPr="00D14DD7">
        <w:rPr>
          <w:b/>
        </w:rPr>
        <w:t xml:space="preserve"> that respects the </w:t>
      </w:r>
      <w:r w:rsidRPr="00D14DD7">
        <w:rPr>
          <w:b/>
          <w:bCs/>
        </w:rPr>
        <w:t>principle of non-</w:t>
      </w:r>
      <w:proofErr w:type="spellStart"/>
      <w:r w:rsidRPr="00D14DD7">
        <w:rPr>
          <w:b/>
          <w:bCs/>
        </w:rPr>
        <w:t>refoulement</w:t>
      </w:r>
      <w:proofErr w:type="spellEnd"/>
      <w:r w:rsidRPr="00D14DD7">
        <w:rPr>
          <w:b/>
        </w:rPr>
        <w:t xml:space="preserve">, irrespective of whether the country of destination is considered safe. </w:t>
      </w:r>
      <w:r w:rsidRPr="00D14DD7">
        <w:rPr>
          <w:rFonts w:eastAsia="Calibri"/>
          <w:b/>
          <w:lang w:eastAsia="en-GB"/>
        </w:rPr>
        <w:t xml:space="preserve">The State party should also ensure full protection from </w:t>
      </w:r>
      <w:proofErr w:type="spellStart"/>
      <w:r w:rsidRPr="00D14DD7">
        <w:rPr>
          <w:rFonts w:eastAsia="Calibri"/>
          <w:b/>
          <w:iCs/>
          <w:lang w:eastAsia="en-GB"/>
        </w:rPr>
        <w:t>refoulement</w:t>
      </w:r>
      <w:proofErr w:type="spellEnd"/>
      <w:r w:rsidRPr="00D14DD7">
        <w:rPr>
          <w:rFonts w:eastAsia="Calibri"/>
          <w:b/>
          <w:iCs/>
          <w:lang w:eastAsia="en-GB"/>
        </w:rPr>
        <w:t xml:space="preserve"> by establishing the necessary legal and administrative safeguards and remedies in forced return procedures and thereby guarantee at all times that no person in need of international protection </w:t>
      </w:r>
      <w:r w:rsidR="006011F2">
        <w:rPr>
          <w:rFonts w:eastAsia="Calibri"/>
          <w:b/>
          <w:iCs/>
          <w:lang w:eastAsia="en-GB"/>
        </w:rPr>
        <w:t>will be</w:t>
      </w:r>
      <w:r w:rsidR="006011F2" w:rsidRPr="00D14DD7">
        <w:rPr>
          <w:rFonts w:eastAsia="Calibri"/>
          <w:b/>
          <w:iCs/>
          <w:lang w:eastAsia="en-GB"/>
        </w:rPr>
        <w:t xml:space="preserve"> </w:t>
      </w:r>
      <w:r w:rsidRPr="00D14DD7">
        <w:rPr>
          <w:rFonts w:eastAsia="Calibri"/>
          <w:b/>
          <w:iCs/>
          <w:lang w:eastAsia="en-GB"/>
        </w:rPr>
        <w:t xml:space="preserve">returned to a country where he or she is in danger of being subjected to acts of torture or cruel, inhuman or degrading treatment, conditions or punishment or to chain </w:t>
      </w:r>
      <w:proofErr w:type="spellStart"/>
      <w:r w:rsidRPr="00D14DD7">
        <w:rPr>
          <w:rFonts w:eastAsia="Calibri"/>
          <w:b/>
          <w:iCs/>
          <w:lang w:eastAsia="en-GB"/>
        </w:rPr>
        <w:t>refoulement</w:t>
      </w:r>
      <w:proofErr w:type="spellEnd"/>
      <w:r w:rsidRPr="00D14DD7">
        <w:rPr>
          <w:rFonts w:eastAsia="Calibri"/>
          <w:b/>
          <w:iCs/>
          <w:lang w:eastAsia="en-GB"/>
        </w:rPr>
        <w:t xml:space="preserve">. </w:t>
      </w:r>
      <w:r>
        <w:rPr>
          <w:rFonts w:eastAsia="Calibri"/>
          <w:b/>
          <w:iCs/>
          <w:lang w:eastAsia="en-GB"/>
        </w:rPr>
        <w:t xml:space="preserve">The State party </w:t>
      </w:r>
      <w:r w:rsidRPr="00D14DD7">
        <w:rPr>
          <w:rFonts w:eastAsia="Calibri"/>
          <w:b/>
          <w:lang w:eastAsia="en-GB"/>
        </w:rPr>
        <w:t>should also establish formalized border monitoring mechanisms</w:t>
      </w:r>
      <w:r>
        <w:rPr>
          <w:rFonts w:eastAsia="Calibri"/>
          <w:b/>
          <w:lang w:eastAsia="en-GB"/>
        </w:rPr>
        <w:t>,</w:t>
      </w:r>
      <w:r w:rsidRPr="00D14DD7">
        <w:rPr>
          <w:rFonts w:eastAsia="Calibri"/>
          <w:b/>
          <w:lang w:eastAsia="en-GB"/>
        </w:rPr>
        <w:t xml:space="preserve"> in cooperation with </w:t>
      </w:r>
      <w:r w:rsidR="00511FB6">
        <w:rPr>
          <w:rFonts w:eastAsia="Calibri"/>
          <w:b/>
          <w:lang w:eastAsia="en-GB"/>
        </w:rPr>
        <w:t>the Office of the United Nations High Commissioner for Refugees</w:t>
      </w:r>
      <w:r w:rsidRPr="00D14DD7">
        <w:rPr>
          <w:rFonts w:eastAsia="Calibri"/>
          <w:b/>
          <w:lang w:eastAsia="en-GB"/>
        </w:rPr>
        <w:t xml:space="preserve"> </w:t>
      </w:r>
      <w:r>
        <w:rPr>
          <w:rFonts w:eastAsia="Calibri"/>
          <w:b/>
          <w:lang w:eastAsia="en-GB"/>
        </w:rPr>
        <w:t>and civil society organizations, and</w:t>
      </w:r>
      <w:r w:rsidRPr="00D14DD7">
        <w:rPr>
          <w:rFonts w:eastAsia="Calibri"/>
          <w:b/>
          <w:lang w:eastAsia="en-GB"/>
        </w:rPr>
        <w:t xml:space="preserve"> </w:t>
      </w:r>
      <w:r w:rsidR="00012152">
        <w:rPr>
          <w:rFonts w:eastAsia="Calibri"/>
          <w:b/>
          <w:lang w:eastAsia="en-GB"/>
        </w:rPr>
        <w:t xml:space="preserve">take </w:t>
      </w:r>
      <w:r w:rsidRPr="00D14DD7">
        <w:rPr>
          <w:rFonts w:eastAsia="Calibri"/>
          <w:b/>
          <w:lang w:eastAsia="en-GB"/>
        </w:rPr>
        <w:t>s</w:t>
      </w:r>
      <w:r w:rsidRPr="00012152">
        <w:rPr>
          <w:rFonts w:eastAsia="Calibri"/>
          <w:b/>
          <w:lang w:eastAsia="en-GB"/>
        </w:rPr>
        <w:t>trong</w:t>
      </w:r>
      <w:r w:rsidR="00012152">
        <w:rPr>
          <w:rFonts w:eastAsia="Calibri"/>
          <w:b/>
          <w:lang w:eastAsia="en-GB"/>
        </w:rPr>
        <w:t xml:space="preserve"> action to</w:t>
      </w:r>
      <w:r w:rsidRPr="00D14DD7">
        <w:rPr>
          <w:rFonts w:eastAsia="Calibri"/>
          <w:b/>
          <w:lang w:eastAsia="en-GB"/>
        </w:rPr>
        <w:t xml:space="preserve"> combat ill-treatment and extortion of undocumented immigrants by the police, including by sending a clear and unambiguous message that such acts are unacceptable, and by prosecuting and punishing the perpetrators.</w:t>
      </w:r>
    </w:p>
    <w:p w:rsidR="002151CB" w:rsidRPr="00D14DD7" w:rsidRDefault="002151CB" w:rsidP="002151CB">
      <w:pPr>
        <w:pStyle w:val="H23G"/>
      </w:pPr>
      <w:r w:rsidRPr="00D14DD7">
        <w:rPr>
          <w:rFonts w:eastAsia="Calibri"/>
        </w:rPr>
        <w:tab/>
      </w:r>
      <w:r w:rsidRPr="00D14DD7">
        <w:tab/>
        <w:t xml:space="preserve">Gender-based and domestic violence </w:t>
      </w:r>
    </w:p>
    <w:p w:rsidR="002151CB" w:rsidRPr="00D14DD7" w:rsidRDefault="004F246E" w:rsidP="004F246E">
      <w:pPr>
        <w:pStyle w:val="SingleTxtG"/>
      </w:pPr>
      <w:r w:rsidRPr="00D14DD7">
        <w:t>16.</w:t>
      </w:r>
      <w:r w:rsidRPr="00D14DD7">
        <w:tab/>
      </w:r>
      <w:r w:rsidR="002151CB" w:rsidRPr="00D14DD7">
        <w:t xml:space="preserve">The Committee regrets the lack of disaggregated data on the number of reported incidents of all forms of violence against women, and on the number of investigations and prosecutions carried out </w:t>
      </w:r>
      <w:r w:rsidR="002B2595">
        <w:t>in respect of those incidents</w:t>
      </w:r>
      <w:r w:rsidR="003B79C5">
        <w:t>.</w:t>
      </w:r>
      <w:r w:rsidR="002151CB" w:rsidRPr="00D14DD7">
        <w:t xml:space="preserve"> It is also concerned </w:t>
      </w:r>
      <w:r w:rsidR="004A5B33">
        <w:t>about</w:t>
      </w:r>
      <w:r w:rsidR="002151CB" w:rsidRPr="00D14DD7">
        <w:t xml:space="preserve"> the low penalties imposed in cases of gender-based and domestic violence, the majority of which </w:t>
      </w:r>
      <w:r w:rsidR="007A425D">
        <w:t xml:space="preserve">have </w:t>
      </w:r>
      <w:r w:rsidR="002151CB" w:rsidRPr="00D14DD7">
        <w:t xml:space="preserve">ended in suspended sentences. The Committee </w:t>
      </w:r>
      <w:r w:rsidR="002151CB">
        <w:t xml:space="preserve">also </w:t>
      </w:r>
      <w:r w:rsidR="002151CB" w:rsidRPr="00D14DD7">
        <w:t xml:space="preserve">notes with concern the lack of emergency protection orders in place, the growing number of </w:t>
      </w:r>
      <w:proofErr w:type="spellStart"/>
      <w:r w:rsidR="002151CB" w:rsidRPr="00D14DD7">
        <w:t>feminicides</w:t>
      </w:r>
      <w:proofErr w:type="spellEnd"/>
      <w:r w:rsidR="002151CB" w:rsidRPr="00D14DD7">
        <w:t xml:space="preserve"> and child victims of domestic violence</w:t>
      </w:r>
      <w:r w:rsidR="003B79C5">
        <w:t xml:space="preserve">, </w:t>
      </w:r>
      <w:r w:rsidR="002151CB" w:rsidRPr="00D14DD7">
        <w:t>and the insufficient State support and assistance provided to victims of gender-based violence during and after criminal proceedings (arts.</w:t>
      </w:r>
      <w:r w:rsidR="00505828">
        <w:t> </w:t>
      </w:r>
      <w:r w:rsidR="002151CB" w:rsidRPr="00D14DD7">
        <w:t>2, 12</w:t>
      </w:r>
      <w:r w:rsidR="00F050D1">
        <w:t>-</w:t>
      </w:r>
      <w:r w:rsidR="002151CB" w:rsidRPr="00D14DD7">
        <w:t xml:space="preserve">14 and 16). </w:t>
      </w:r>
    </w:p>
    <w:p w:rsidR="002151CB" w:rsidRPr="007D387C" w:rsidRDefault="002151CB" w:rsidP="007D387C">
      <w:pPr>
        <w:pStyle w:val="SingleTxtG"/>
        <w:rPr>
          <w:b/>
        </w:rPr>
      </w:pPr>
      <w:r w:rsidRPr="007D387C">
        <w:rPr>
          <w:b/>
        </w:rPr>
        <w:t xml:space="preserve">The State party should redouble its efforts to combat </w:t>
      </w:r>
      <w:r w:rsidR="00555902">
        <w:rPr>
          <w:b/>
        </w:rPr>
        <w:t xml:space="preserve">gender-based and </w:t>
      </w:r>
      <w:r w:rsidRPr="007D387C">
        <w:rPr>
          <w:b/>
        </w:rPr>
        <w:t xml:space="preserve">domestic violence, </w:t>
      </w:r>
      <w:r w:rsidRPr="00051AD9">
        <w:rPr>
          <w:b/>
          <w:iCs/>
        </w:rPr>
        <w:t>inter alia</w:t>
      </w:r>
      <w:r w:rsidRPr="007D387C">
        <w:rPr>
          <w:b/>
        </w:rPr>
        <w:t>, by:</w:t>
      </w:r>
    </w:p>
    <w:p w:rsidR="002151CB" w:rsidRPr="007D387C" w:rsidRDefault="002151CB" w:rsidP="00E05E22">
      <w:pPr>
        <w:pStyle w:val="SingleTxtG"/>
        <w:ind w:firstLine="567"/>
        <w:rPr>
          <w:b/>
        </w:rPr>
      </w:pPr>
      <w:r w:rsidRPr="00D0401A">
        <w:rPr>
          <w:bCs/>
        </w:rPr>
        <w:t>(a)</w:t>
      </w:r>
      <w:r w:rsidRPr="00D0401A">
        <w:rPr>
          <w:bCs/>
        </w:rPr>
        <w:tab/>
      </w:r>
      <w:r w:rsidR="00D93406">
        <w:rPr>
          <w:b/>
        </w:rPr>
        <w:t>I</w:t>
      </w:r>
      <w:r w:rsidRPr="007D387C">
        <w:rPr>
          <w:b/>
        </w:rPr>
        <w:t>nvestigating</w:t>
      </w:r>
      <w:r w:rsidR="00D93406">
        <w:rPr>
          <w:b/>
        </w:rPr>
        <w:t>, p</w:t>
      </w:r>
      <w:r w:rsidR="00D93406" w:rsidRPr="00D93406">
        <w:rPr>
          <w:b/>
        </w:rPr>
        <w:t>romptly, effectively and impartially</w:t>
      </w:r>
      <w:r w:rsidR="00D93406">
        <w:rPr>
          <w:b/>
        </w:rPr>
        <w:t>,</w:t>
      </w:r>
      <w:r w:rsidRPr="007D387C">
        <w:rPr>
          <w:b/>
        </w:rPr>
        <w:t xml:space="preserve"> all incidents of violence and prosecuting and punishing perpetrators in accordance with the gravity of their acts; </w:t>
      </w:r>
    </w:p>
    <w:p w:rsidR="002151CB" w:rsidRPr="007D387C" w:rsidRDefault="002151CB" w:rsidP="00D0401A">
      <w:pPr>
        <w:pStyle w:val="SingleTxtG"/>
        <w:ind w:firstLine="567"/>
        <w:rPr>
          <w:b/>
        </w:rPr>
      </w:pPr>
      <w:r w:rsidRPr="00D0401A">
        <w:rPr>
          <w:bCs/>
        </w:rPr>
        <w:t>(b)</w:t>
      </w:r>
      <w:r w:rsidRPr="007D387C">
        <w:rPr>
          <w:b/>
        </w:rPr>
        <w:tab/>
        <w:t xml:space="preserve">Ensuring the effective implementation of the </w:t>
      </w:r>
      <w:r w:rsidR="006B2D0C">
        <w:rPr>
          <w:b/>
        </w:rPr>
        <w:t xml:space="preserve">State party’s </w:t>
      </w:r>
      <w:r w:rsidR="00E05E22">
        <w:rPr>
          <w:b/>
        </w:rPr>
        <w:t>g</w:t>
      </w:r>
      <w:r w:rsidRPr="007D387C">
        <w:rPr>
          <w:b/>
        </w:rPr>
        <w:t xml:space="preserve">eneral and </w:t>
      </w:r>
      <w:r w:rsidR="00E05E22">
        <w:rPr>
          <w:b/>
        </w:rPr>
        <w:t>s</w:t>
      </w:r>
      <w:r w:rsidRPr="007D387C">
        <w:rPr>
          <w:b/>
        </w:rPr>
        <w:t xml:space="preserve">pecial </w:t>
      </w:r>
      <w:r w:rsidR="00E05E22">
        <w:rPr>
          <w:b/>
        </w:rPr>
        <w:t>p</w:t>
      </w:r>
      <w:r w:rsidRPr="007D387C">
        <w:rPr>
          <w:b/>
        </w:rPr>
        <w:t xml:space="preserve">rotocols for </w:t>
      </w:r>
      <w:r w:rsidR="00E05E22">
        <w:rPr>
          <w:b/>
        </w:rPr>
        <w:t>c</w:t>
      </w:r>
      <w:r w:rsidRPr="007D387C">
        <w:rPr>
          <w:b/>
        </w:rPr>
        <w:t xml:space="preserve">onduct </w:t>
      </w:r>
      <w:r w:rsidR="00E05E22">
        <w:rPr>
          <w:b/>
        </w:rPr>
        <w:t xml:space="preserve">in cases </w:t>
      </w:r>
      <w:r w:rsidRPr="007D387C">
        <w:rPr>
          <w:b/>
        </w:rPr>
        <w:t xml:space="preserve">of </w:t>
      </w:r>
      <w:r w:rsidR="00E05E22">
        <w:rPr>
          <w:b/>
        </w:rPr>
        <w:t>v</w:t>
      </w:r>
      <w:r w:rsidRPr="007D387C">
        <w:rPr>
          <w:b/>
        </w:rPr>
        <w:t xml:space="preserve">iolence against </w:t>
      </w:r>
      <w:r w:rsidR="00E05E22">
        <w:rPr>
          <w:b/>
        </w:rPr>
        <w:t>w</w:t>
      </w:r>
      <w:r w:rsidRPr="007D387C">
        <w:rPr>
          <w:b/>
        </w:rPr>
        <w:t xml:space="preserve">omen in the </w:t>
      </w:r>
      <w:r w:rsidR="00E05E22">
        <w:rPr>
          <w:b/>
        </w:rPr>
        <w:t>f</w:t>
      </w:r>
      <w:r w:rsidRPr="007D387C">
        <w:rPr>
          <w:b/>
        </w:rPr>
        <w:t xml:space="preserve">amily and in </w:t>
      </w:r>
      <w:r w:rsidR="00E05E22">
        <w:rPr>
          <w:b/>
        </w:rPr>
        <w:t>i</w:t>
      </w:r>
      <w:r w:rsidRPr="007D387C">
        <w:rPr>
          <w:b/>
        </w:rPr>
        <w:t xml:space="preserve">ntimate </w:t>
      </w:r>
      <w:r w:rsidR="00E05E22">
        <w:rPr>
          <w:b/>
        </w:rPr>
        <w:t>r</w:t>
      </w:r>
      <w:r w:rsidRPr="007D387C">
        <w:rPr>
          <w:b/>
        </w:rPr>
        <w:t>elationships and adopt</w:t>
      </w:r>
      <w:r w:rsidR="002D57D5">
        <w:rPr>
          <w:b/>
        </w:rPr>
        <w:t>ing</w:t>
      </w:r>
      <w:r w:rsidRPr="007D387C">
        <w:rPr>
          <w:b/>
        </w:rPr>
        <w:t xml:space="preserve"> new protocols for proceedings in other cases of gender-based violence;</w:t>
      </w:r>
    </w:p>
    <w:p w:rsidR="002151CB" w:rsidRPr="007D387C" w:rsidRDefault="002151CB" w:rsidP="00D0401A">
      <w:pPr>
        <w:pStyle w:val="SingleTxtG"/>
        <w:ind w:firstLine="567"/>
        <w:rPr>
          <w:b/>
        </w:rPr>
      </w:pPr>
      <w:r w:rsidRPr="00D0401A">
        <w:rPr>
          <w:bCs/>
        </w:rPr>
        <w:lastRenderedPageBreak/>
        <w:t>(c)</w:t>
      </w:r>
      <w:r w:rsidRPr="007D387C">
        <w:rPr>
          <w:b/>
        </w:rPr>
        <w:tab/>
        <w:t xml:space="preserve">Ensuring that victims of gender-based violence benefit from urgent and effective protection measures and have access to sufficient and adequately funded shelters, medical and legal aid, psychosocial counselling and social support schemes; </w:t>
      </w:r>
    </w:p>
    <w:p w:rsidR="002151CB" w:rsidRPr="007D387C" w:rsidRDefault="002151CB" w:rsidP="00E05E22">
      <w:pPr>
        <w:pStyle w:val="SingleTxtG"/>
        <w:ind w:firstLine="567"/>
        <w:rPr>
          <w:b/>
        </w:rPr>
      </w:pPr>
      <w:r w:rsidRPr="00D0401A">
        <w:rPr>
          <w:bCs/>
        </w:rPr>
        <w:t>(d)</w:t>
      </w:r>
      <w:r w:rsidRPr="007D387C">
        <w:rPr>
          <w:b/>
        </w:rPr>
        <w:tab/>
        <w:t>Establish</w:t>
      </w:r>
      <w:r w:rsidR="007A425D">
        <w:rPr>
          <w:b/>
        </w:rPr>
        <w:t>ing</w:t>
      </w:r>
      <w:r w:rsidRPr="007D387C">
        <w:rPr>
          <w:b/>
        </w:rPr>
        <w:t xml:space="preserve"> a centrali</w:t>
      </w:r>
      <w:r w:rsidR="00E05E22">
        <w:rPr>
          <w:b/>
        </w:rPr>
        <w:t>z</w:t>
      </w:r>
      <w:r w:rsidRPr="007D387C">
        <w:rPr>
          <w:b/>
        </w:rPr>
        <w:t xml:space="preserve">ed system of data collection </w:t>
      </w:r>
      <w:r w:rsidR="00E05E22">
        <w:rPr>
          <w:b/>
        </w:rPr>
        <w:t>covering</w:t>
      </w:r>
      <w:r w:rsidR="00E05E22" w:rsidRPr="007D387C">
        <w:rPr>
          <w:b/>
        </w:rPr>
        <w:t xml:space="preserve"> </w:t>
      </w:r>
      <w:r w:rsidRPr="007D387C">
        <w:rPr>
          <w:b/>
        </w:rPr>
        <w:t>all forms of domestic and gender</w:t>
      </w:r>
      <w:r w:rsidR="0015699A">
        <w:rPr>
          <w:b/>
        </w:rPr>
        <w:t>-</w:t>
      </w:r>
      <w:r w:rsidRPr="007D387C">
        <w:rPr>
          <w:b/>
        </w:rPr>
        <w:t>based violence in order to facilitate risk assessments</w:t>
      </w:r>
      <w:r w:rsidR="00E05E22">
        <w:rPr>
          <w:b/>
        </w:rPr>
        <w:t>,</w:t>
      </w:r>
      <w:r w:rsidRPr="007D387C">
        <w:rPr>
          <w:b/>
        </w:rPr>
        <w:t xml:space="preserve"> improve protection </w:t>
      </w:r>
      <w:r w:rsidR="00E05E22">
        <w:rPr>
          <w:b/>
        </w:rPr>
        <w:t xml:space="preserve">and </w:t>
      </w:r>
      <w:r w:rsidRPr="007D387C">
        <w:rPr>
          <w:b/>
        </w:rPr>
        <w:t xml:space="preserve">evaluate the extent of the phenomenon and the impact of the measures taken. </w:t>
      </w:r>
    </w:p>
    <w:p w:rsidR="002151CB" w:rsidRPr="00D14DD7" w:rsidRDefault="007D387C" w:rsidP="007D387C">
      <w:pPr>
        <w:pStyle w:val="H23G"/>
        <w:rPr>
          <w:lang w:eastAsia="en-GB"/>
        </w:rPr>
      </w:pPr>
      <w:r>
        <w:rPr>
          <w:lang w:eastAsia="en-GB"/>
        </w:rPr>
        <w:tab/>
      </w:r>
      <w:r>
        <w:rPr>
          <w:lang w:eastAsia="en-GB"/>
        </w:rPr>
        <w:tab/>
      </w:r>
      <w:r w:rsidR="002151CB" w:rsidRPr="00D14DD7">
        <w:rPr>
          <w:lang w:eastAsia="en-GB"/>
        </w:rPr>
        <w:t>Trafficking in persons</w:t>
      </w:r>
    </w:p>
    <w:p w:rsidR="002151CB" w:rsidRPr="004F246E" w:rsidRDefault="004F246E" w:rsidP="004F246E">
      <w:pPr>
        <w:pStyle w:val="SingleTxtG"/>
        <w:rPr>
          <w:spacing w:val="-2"/>
        </w:rPr>
      </w:pPr>
      <w:r w:rsidRPr="004F246E">
        <w:rPr>
          <w:spacing w:val="-2"/>
        </w:rPr>
        <w:t>17.</w:t>
      </w:r>
      <w:r w:rsidRPr="004F246E">
        <w:rPr>
          <w:spacing w:val="-2"/>
        </w:rPr>
        <w:tab/>
      </w:r>
      <w:r w:rsidR="002151CB" w:rsidRPr="004F246E">
        <w:rPr>
          <w:spacing w:val="-2"/>
        </w:rPr>
        <w:t>While welcoming the legislative and other measures to address trafficking in persons (</w:t>
      </w:r>
      <w:r w:rsidR="00BA4E41" w:rsidRPr="004F246E">
        <w:rPr>
          <w:spacing w:val="-2"/>
        </w:rPr>
        <w:t xml:space="preserve">see </w:t>
      </w:r>
      <w:r w:rsidR="002151CB" w:rsidRPr="004F246E">
        <w:rPr>
          <w:spacing w:val="-2"/>
        </w:rPr>
        <w:t>para.</w:t>
      </w:r>
      <w:r w:rsidR="00505828" w:rsidRPr="004F246E">
        <w:rPr>
          <w:spacing w:val="-2"/>
        </w:rPr>
        <w:t> </w:t>
      </w:r>
      <w:r w:rsidR="0064276C" w:rsidRPr="004F246E">
        <w:rPr>
          <w:spacing w:val="-2"/>
        </w:rPr>
        <w:t>6</w:t>
      </w:r>
      <w:r w:rsidR="00F97267" w:rsidRPr="004F246E">
        <w:rPr>
          <w:spacing w:val="-2"/>
        </w:rPr>
        <w:t> </w:t>
      </w:r>
      <w:r w:rsidR="002151CB" w:rsidRPr="004F246E">
        <w:rPr>
          <w:spacing w:val="-2"/>
        </w:rPr>
        <w:t xml:space="preserve">(b) above), the Committee is concerned </w:t>
      </w:r>
      <w:r w:rsidR="007A425D" w:rsidRPr="004F246E">
        <w:rPr>
          <w:spacing w:val="-2"/>
        </w:rPr>
        <w:t>at</w:t>
      </w:r>
      <w:r w:rsidR="002151CB" w:rsidRPr="004F246E">
        <w:rPr>
          <w:spacing w:val="-2"/>
        </w:rPr>
        <w:t xml:space="preserve"> reports that some victims are punished for acts committed as a result of being trafficked and are not afforded sufficient protection against repeated victimization and intimidation in lengthy criminal and civil proceedings. The Committee also takes into consideration </w:t>
      </w:r>
      <w:r w:rsidR="005A6E84" w:rsidRPr="004F246E">
        <w:rPr>
          <w:spacing w:val="-2"/>
        </w:rPr>
        <w:t xml:space="preserve">reports </w:t>
      </w:r>
      <w:r w:rsidR="00F97267" w:rsidRPr="004F246E">
        <w:rPr>
          <w:spacing w:val="-2"/>
        </w:rPr>
        <w:t>that</w:t>
      </w:r>
      <w:r w:rsidR="002151CB" w:rsidRPr="004F246E">
        <w:rPr>
          <w:spacing w:val="-2"/>
        </w:rPr>
        <w:t xml:space="preserve"> funding</w:t>
      </w:r>
      <w:r w:rsidR="005A6E84" w:rsidRPr="004F246E">
        <w:rPr>
          <w:spacing w:val="-2"/>
        </w:rPr>
        <w:t xml:space="preserve"> is insufficient</w:t>
      </w:r>
      <w:r w:rsidR="002151CB" w:rsidRPr="004F246E">
        <w:rPr>
          <w:spacing w:val="-2"/>
        </w:rPr>
        <w:t xml:space="preserve"> to provide for services for victims of trafficking</w:t>
      </w:r>
      <w:r w:rsidR="005A6E84" w:rsidRPr="004F246E">
        <w:rPr>
          <w:spacing w:val="-2"/>
        </w:rPr>
        <w:t xml:space="preserve"> and that there is</w:t>
      </w:r>
      <w:r w:rsidR="002151CB" w:rsidRPr="004F246E">
        <w:rPr>
          <w:spacing w:val="-2"/>
        </w:rPr>
        <w:t xml:space="preserve"> a lack of </w:t>
      </w:r>
      <w:r w:rsidR="005A6E84" w:rsidRPr="004F246E">
        <w:rPr>
          <w:spacing w:val="-2"/>
        </w:rPr>
        <w:t>mechanisms for</w:t>
      </w:r>
      <w:r w:rsidR="002151CB" w:rsidRPr="004F246E">
        <w:rPr>
          <w:spacing w:val="-2"/>
        </w:rPr>
        <w:t xml:space="preserve"> </w:t>
      </w:r>
      <w:r w:rsidR="002C05C4" w:rsidRPr="004F246E">
        <w:rPr>
          <w:spacing w:val="-2"/>
        </w:rPr>
        <w:t xml:space="preserve">coordination and </w:t>
      </w:r>
      <w:r w:rsidR="002151CB" w:rsidRPr="004F246E">
        <w:rPr>
          <w:spacing w:val="-2"/>
        </w:rPr>
        <w:t xml:space="preserve">referral between the </w:t>
      </w:r>
      <w:r w:rsidR="005A6E84" w:rsidRPr="004F246E">
        <w:rPr>
          <w:spacing w:val="-2"/>
        </w:rPr>
        <w:t>w</w:t>
      </w:r>
      <w:r w:rsidR="002151CB" w:rsidRPr="004F246E">
        <w:rPr>
          <w:spacing w:val="-2"/>
        </w:rPr>
        <w:t xml:space="preserve">elfare </w:t>
      </w:r>
      <w:r w:rsidR="005A6E84" w:rsidRPr="004F246E">
        <w:rPr>
          <w:spacing w:val="-2"/>
        </w:rPr>
        <w:t>c</w:t>
      </w:r>
      <w:r w:rsidR="002151CB" w:rsidRPr="004F246E">
        <w:rPr>
          <w:spacing w:val="-2"/>
        </w:rPr>
        <w:t>ent</w:t>
      </w:r>
      <w:r w:rsidR="005A6E84" w:rsidRPr="004F246E">
        <w:rPr>
          <w:spacing w:val="-2"/>
        </w:rPr>
        <w:t>r</w:t>
      </w:r>
      <w:r w:rsidR="002151CB" w:rsidRPr="004F246E">
        <w:rPr>
          <w:spacing w:val="-2"/>
        </w:rPr>
        <w:t xml:space="preserve">e for </w:t>
      </w:r>
      <w:r w:rsidR="005A6E84" w:rsidRPr="004F246E">
        <w:rPr>
          <w:spacing w:val="-2"/>
        </w:rPr>
        <w:t>v</w:t>
      </w:r>
      <w:r w:rsidR="002151CB" w:rsidRPr="004F246E">
        <w:rPr>
          <w:spacing w:val="-2"/>
        </w:rPr>
        <w:t xml:space="preserve">ictims of </w:t>
      </w:r>
      <w:r w:rsidR="005A6E84" w:rsidRPr="004F246E">
        <w:rPr>
          <w:spacing w:val="-2"/>
        </w:rPr>
        <w:t>h</w:t>
      </w:r>
      <w:r w:rsidR="002151CB" w:rsidRPr="004F246E">
        <w:rPr>
          <w:spacing w:val="-2"/>
        </w:rPr>
        <w:t xml:space="preserve">uman </w:t>
      </w:r>
      <w:r w:rsidR="005A6E84" w:rsidRPr="004F246E">
        <w:rPr>
          <w:spacing w:val="-2"/>
        </w:rPr>
        <w:t>t</w:t>
      </w:r>
      <w:r w:rsidR="002151CB" w:rsidRPr="004F246E">
        <w:rPr>
          <w:spacing w:val="-2"/>
        </w:rPr>
        <w:t>rafficking and non-governmental organizations working in this area (arts.</w:t>
      </w:r>
      <w:r w:rsidR="00505828" w:rsidRPr="004F246E">
        <w:rPr>
          <w:spacing w:val="-2"/>
        </w:rPr>
        <w:t> </w:t>
      </w:r>
      <w:r w:rsidR="002151CB" w:rsidRPr="004F246E">
        <w:rPr>
          <w:spacing w:val="-2"/>
        </w:rPr>
        <w:t>2, 12</w:t>
      </w:r>
      <w:r w:rsidR="00131894" w:rsidRPr="004F246E">
        <w:rPr>
          <w:spacing w:val="-2"/>
        </w:rPr>
        <w:t>–</w:t>
      </w:r>
      <w:r w:rsidR="002151CB" w:rsidRPr="004F246E">
        <w:rPr>
          <w:spacing w:val="-2"/>
        </w:rPr>
        <w:t xml:space="preserve">14 and 16). </w:t>
      </w:r>
    </w:p>
    <w:p w:rsidR="002151CB" w:rsidRPr="007D387C" w:rsidRDefault="002151CB" w:rsidP="007D387C">
      <w:pPr>
        <w:pStyle w:val="SingleTxtG"/>
        <w:rPr>
          <w:b/>
        </w:rPr>
      </w:pPr>
      <w:r w:rsidRPr="007D387C">
        <w:rPr>
          <w:b/>
        </w:rPr>
        <w:t>The State party should:</w:t>
      </w:r>
    </w:p>
    <w:p w:rsidR="002151CB" w:rsidRPr="007D387C" w:rsidRDefault="002151CB" w:rsidP="002C05C4">
      <w:pPr>
        <w:pStyle w:val="SingleTxtG"/>
        <w:ind w:firstLine="567"/>
        <w:rPr>
          <w:b/>
          <w:color w:val="000000"/>
        </w:rPr>
      </w:pPr>
      <w:r w:rsidRPr="00D0401A">
        <w:rPr>
          <w:bCs/>
          <w:color w:val="000000"/>
        </w:rPr>
        <w:t>(a)</w:t>
      </w:r>
      <w:r w:rsidRPr="007D387C">
        <w:rPr>
          <w:b/>
          <w:color w:val="000000"/>
        </w:rPr>
        <w:tab/>
        <w:t>Continue its efforts to enforce the anti-trafficking legislation</w:t>
      </w:r>
      <w:r w:rsidRPr="007D387C">
        <w:rPr>
          <w:b/>
        </w:rPr>
        <w:t xml:space="preserve"> by investigating</w:t>
      </w:r>
      <w:r w:rsidR="002C05C4">
        <w:rPr>
          <w:b/>
        </w:rPr>
        <w:t xml:space="preserve">, </w:t>
      </w:r>
      <w:r w:rsidR="002C05C4" w:rsidRPr="002C05C4">
        <w:rPr>
          <w:b/>
        </w:rPr>
        <w:t>promptly, effectively and impartially</w:t>
      </w:r>
      <w:r w:rsidR="002C05C4">
        <w:rPr>
          <w:b/>
        </w:rPr>
        <w:t>,</w:t>
      </w:r>
      <w:r w:rsidRPr="007D387C">
        <w:rPr>
          <w:b/>
        </w:rPr>
        <w:t xml:space="preserve"> all incidents of trafficking and punishing </w:t>
      </w:r>
      <w:r w:rsidRPr="007D387C">
        <w:rPr>
          <w:b/>
          <w:color w:val="000000"/>
        </w:rPr>
        <w:t>trafficking offenders</w:t>
      </w:r>
      <w:r w:rsidRPr="007D387C">
        <w:rPr>
          <w:b/>
        </w:rPr>
        <w:t xml:space="preserve"> </w:t>
      </w:r>
      <w:r w:rsidRPr="007D387C">
        <w:rPr>
          <w:b/>
          <w:color w:val="000000"/>
        </w:rPr>
        <w:t>with appropriate penalties</w:t>
      </w:r>
      <w:r w:rsidRPr="007D387C">
        <w:rPr>
          <w:b/>
        </w:rPr>
        <w:t>;</w:t>
      </w:r>
    </w:p>
    <w:p w:rsidR="002151CB" w:rsidRPr="007D387C" w:rsidRDefault="002151CB" w:rsidP="002C05C4">
      <w:pPr>
        <w:pStyle w:val="SingleTxtG"/>
        <w:ind w:firstLine="567"/>
        <w:rPr>
          <w:b/>
        </w:rPr>
      </w:pPr>
      <w:r w:rsidRPr="00D0401A">
        <w:rPr>
          <w:bCs/>
        </w:rPr>
        <w:t>(</w:t>
      </w:r>
      <w:r w:rsidR="00E6756A" w:rsidRPr="00D0401A">
        <w:rPr>
          <w:bCs/>
        </w:rPr>
        <w:t>b</w:t>
      </w:r>
      <w:r w:rsidRPr="00D0401A">
        <w:rPr>
          <w:bCs/>
        </w:rPr>
        <w:t>)</w:t>
      </w:r>
      <w:r w:rsidRPr="007D387C">
        <w:rPr>
          <w:b/>
        </w:rPr>
        <w:tab/>
      </w:r>
      <w:r w:rsidR="002D57D5">
        <w:rPr>
          <w:b/>
        </w:rPr>
        <w:t>I</w:t>
      </w:r>
      <w:r w:rsidR="002D57D5" w:rsidRPr="007D387C">
        <w:rPr>
          <w:b/>
        </w:rPr>
        <w:t>ncreas</w:t>
      </w:r>
      <w:r w:rsidR="002D57D5">
        <w:rPr>
          <w:b/>
        </w:rPr>
        <w:t>e</w:t>
      </w:r>
      <w:r w:rsidR="002D57D5" w:rsidRPr="007D387C">
        <w:rPr>
          <w:b/>
        </w:rPr>
        <w:t xml:space="preserve"> activities</w:t>
      </w:r>
      <w:r w:rsidR="002D57D5">
        <w:rPr>
          <w:b/>
        </w:rPr>
        <w:t xml:space="preserve"> </w:t>
      </w:r>
      <w:r w:rsidR="002C05C4">
        <w:rPr>
          <w:b/>
        </w:rPr>
        <w:t xml:space="preserve">to raise awareness </w:t>
      </w:r>
      <w:r w:rsidR="002D57D5">
        <w:rPr>
          <w:b/>
        </w:rPr>
        <w:t>among</w:t>
      </w:r>
      <w:r w:rsidRPr="007D387C">
        <w:rPr>
          <w:b/>
        </w:rPr>
        <w:t xml:space="preserve"> </w:t>
      </w:r>
      <w:r w:rsidR="00E6756A">
        <w:rPr>
          <w:b/>
        </w:rPr>
        <w:t>the judiciary</w:t>
      </w:r>
      <w:r w:rsidR="00E6756A" w:rsidRPr="007D387C">
        <w:rPr>
          <w:b/>
        </w:rPr>
        <w:t xml:space="preserve"> </w:t>
      </w:r>
      <w:r w:rsidRPr="007D387C">
        <w:rPr>
          <w:b/>
        </w:rPr>
        <w:t xml:space="preserve">and law enforcement officials </w:t>
      </w:r>
      <w:r w:rsidR="002D57D5">
        <w:rPr>
          <w:b/>
        </w:rPr>
        <w:t xml:space="preserve">about the need to </w:t>
      </w:r>
      <w:r w:rsidR="00E53B84">
        <w:rPr>
          <w:b/>
        </w:rPr>
        <w:t xml:space="preserve">enhance the </w:t>
      </w:r>
      <w:r w:rsidRPr="007D387C">
        <w:rPr>
          <w:b/>
        </w:rPr>
        <w:t>protect</w:t>
      </w:r>
      <w:r w:rsidR="00E53B84">
        <w:rPr>
          <w:b/>
        </w:rPr>
        <w:t>ion of</w:t>
      </w:r>
      <w:r w:rsidRPr="007D387C">
        <w:rPr>
          <w:b/>
        </w:rPr>
        <w:t xml:space="preserve"> victims </w:t>
      </w:r>
      <w:r w:rsidR="00E53B84">
        <w:rPr>
          <w:b/>
        </w:rPr>
        <w:t xml:space="preserve">of trafficking </w:t>
      </w:r>
      <w:r w:rsidRPr="007D387C">
        <w:rPr>
          <w:b/>
        </w:rPr>
        <w:t xml:space="preserve">in criminal proceedings by </w:t>
      </w:r>
      <w:r w:rsidR="00E6756A">
        <w:rPr>
          <w:b/>
        </w:rPr>
        <w:t>making sure</w:t>
      </w:r>
      <w:r w:rsidR="00E6756A" w:rsidRPr="007D387C">
        <w:rPr>
          <w:b/>
        </w:rPr>
        <w:t xml:space="preserve"> that </w:t>
      </w:r>
      <w:r w:rsidR="002C05C4">
        <w:rPr>
          <w:b/>
        </w:rPr>
        <w:t>victims</w:t>
      </w:r>
      <w:r w:rsidR="00E6756A" w:rsidRPr="007D387C">
        <w:rPr>
          <w:b/>
        </w:rPr>
        <w:t xml:space="preserve"> are not penali</w:t>
      </w:r>
      <w:r w:rsidR="002C05C4">
        <w:rPr>
          <w:b/>
        </w:rPr>
        <w:t>z</w:t>
      </w:r>
      <w:r w:rsidR="00E6756A" w:rsidRPr="007D387C">
        <w:rPr>
          <w:b/>
        </w:rPr>
        <w:t>ed for acts committed as a result of being trafficked</w:t>
      </w:r>
      <w:r w:rsidR="00E6756A">
        <w:rPr>
          <w:b/>
        </w:rPr>
        <w:t xml:space="preserve">, </w:t>
      </w:r>
      <w:r w:rsidR="002C05C4">
        <w:rPr>
          <w:b/>
        </w:rPr>
        <w:t xml:space="preserve">by </w:t>
      </w:r>
      <w:r w:rsidRPr="007D387C">
        <w:rPr>
          <w:b/>
        </w:rPr>
        <w:t>reducing the duration of trials</w:t>
      </w:r>
      <w:r w:rsidR="002D57D5">
        <w:rPr>
          <w:b/>
        </w:rPr>
        <w:t xml:space="preserve"> and</w:t>
      </w:r>
      <w:r w:rsidRPr="007D387C">
        <w:rPr>
          <w:b/>
        </w:rPr>
        <w:t xml:space="preserve"> </w:t>
      </w:r>
      <w:r w:rsidR="002C05C4">
        <w:rPr>
          <w:b/>
        </w:rPr>
        <w:t xml:space="preserve">by </w:t>
      </w:r>
      <w:r w:rsidRPr="007D387C">
        <w:rPr>
          <w:b/>
        </w:rPr>
        <w:t>avoiding witness intimidation and secondary victimization;</w:t>
      </w:r>
    </w:p>
    <w:p w:rsidR="002151CB" w:rsidRPr="007D387C" w:rsidRDefault="002151CB" w:rsidP="00D0401A">
      <w:pPr>
        <w:pStyle w:val="SingleTxtG"/>
        <w:ind w:firstLine="567"/>
        <w:rPr>
          <w:b/>
        </w:rPr>
      </w:pPr>
      <w:r w:rsidRPr="00D0401A">
        <w:rPr>
          <w:bCs/>
        </w:rPr>
        <w:t>(</w:t>
      </w:r>
      <w:r w:rsidR="00E6756A" w:rsidRPr="00D0401A">
        <w:rPr>
          <w:bCs/>
        </w:rPr>
        <w:t>c</w:t>
      </w:r>
      <w:r w:rsidRPr="00D0401A">
        <w:rPr>
          <w:bCs/>
        </w:rPr>
        <w:t>)</w:t>
      </w:r>
      <w:r w:rsidRPr="007D387C">
        <w:rPr>
          <w:b/>
        </w:rPr>
        <w:tab/>
        <w:t>Facilitate access to compensation for victims of trafficking, regardless of the outcome of criminal proceedings or the identity of the perpetrators;</w:t>
      </w:r>
    </w:p>
    <w:p w:rsidR="002151CB" w:rsidRPr="007D387C" w:rsidRDefault="002151CB" w:rsidP="006E0FD7">
      <w:pPr>
        <w:pStyle w:val="SingleTxtG"/>
        <w:ind w:firstLine="567"/>
        <w:rPr>
          <w:b/>
        </w:rPr>
      </w:pPr>
      <w:r w:rsidRPr="00D0401A">
        <w:rPr>
          <w:bCs/>
        </w:rPr>
        <w:t>(</w:t>
      </w:r>
      <w:r w:rsidR="00E6756A" w:rsidRPr="00D0401A">
        <w:rPr>
          <w:bCs/>
        </w:rPr>
        <w:t>d</w:t>
      </w:r>
      <w:r w:rsidRPr="00D0401A">
        <w:rPr>
          <w:bCs/>
        </w:rPr>
        <w:t>)</w:t>
      </w:r>
      <w:r w:rsidRPr="007D387C">
        <w:rPr>
          <w:b/>
        </w:rPr>
        <w:tab/>
        <w:t xml:space="preserve">Provide sufficient State funding </w:t>
      </w:r>
      <w:r w:rsidR="002C05C4">
        <w:rPr>
          <w:b/>
        </w:rPr>
        <w:t>for</w:t>
      </w:r>
      <w:r w:rsidRPr="007D387C">
        <w:rPr>
          <w:b/>
        </w:rPr>
        <w:t xml:space="preserve"> assistance and reintegration services </w:t>
      </w:r>
      <w:r w:rsidR="002C05C4">
        <w:rPr>
          <w:b/>
        </w:rPr>
        <w:t>for</w:t>
      </w:r>
      <w:r w:rsidR="002C05C4" w:rsidRPr="007D387C">
        <w:rPr>
          <w:b/>
        </w:rPr>
        <w:t xml:space="preserve"> </w:t>
      </w:r>
      <w:r w:rsidRPr="007D387C">
        <w:rPr>
          <w:b/>
        </w:rPr>
        <w:t>victims of trafficking and improve</w:t>
      </w:r>
      <w:r w:rsidR="00E53B84">
        <w:rPr>
          <w:b/>
        </w:rPr>
        <w:t xml:space="preserve"> the mechanisms for the</w:t>
      </w:r>
      <w:r w:rsidRPr="007D387C">
        <w:rPr>
          <w:b/>
        </w:rPr>
        <w:t xml:space="preserve"> identification</w:t>
      </w:r>
      <w:r w:rsidR="00E53B84">
        <w:rPr>
          <w:b/>
        </w:rPr>
        <w:t xml:space="preserve"> of victims and </w:t>
      </w:r>
      <w:r w:rsidR="006E0FD7">
        <w:rPr>
          <w:b/>
        </w:rPr>
        <w:t>for</w:t>
      </w:r>
      <w:r w:rsidRPr="007D387C">
        <w:rPr>
          <w:b/>
        </w:rPr>
        <w:t xml:space="preserve"> coordination and referral </w:t>
      </w:r>
      <w:r w:rsidR="00E53B84">
        <w:rPr>
          <w:b/>
        </w:rPr>
        <w:t>between</w:t>
      </w:r>
      <w:r w:rsidR="00E53B84" w:rsidRPr="007D387C">
        <w:rPr>
          <w:b/>
        </w:rPr>
        <w:t xml:space="preserve"> </w:t>
      </w:r>
      <w:r w:rsidRPr="007D387C">
        <w:rPr>
          <w:b/>
        </w:rPr>
        <w:t xml:space="preserve">service providers and officials; </w:t>
      </w:r>
    </w:p>
    <w:p w:rsidR="002151CB" w:rsidRPr="007D387C" w:rsidRDefault="002151CB" w:rsidP="006E0FD7">
      <w:pPr>
        <w:pStyle w:val="SingleTxtG"/>
        <w:ind w:firstLine="567"/>
        <w:rPr>
          <w:b/>
        </w:rPr>
      </w:pPr>
      <w:r w:rsidRPr="00D0401A">
        <w:rPr>
          <w:bCs/>
        </w:rPr>
        <w:t>(</w:t>
      </w:r>
      <w:r w:rsidR="00E6756A" w:rsidRPr="00D0401A">
        <w:rPr>
          <w:bCs/>
        </w:rPr>
        <w:t>e</w:t>
      </w:r>
      <w:r w:rsidRPr="00D0401A">
        <w:rPr>
          <w:bCs/>
        </w:rPr>
        <w:t>)</w:t>
      </w:r>
      <w:r w:rsidRPr="007D387C">
        <w:rPr>
          <w:b/>
        </w:rPr>
        <w:tab/>
        <w:t xml:space="preserve">Undertake an impact assessment of the </w:t>
      </w:r>
      <w:r w:rsidR="0063107D">
        <w:rPr>
          <w:b/>
        </w:rPr>
        <w:t xml:space="preserve">National </w:t>
      </w:r>
      <w:r w:rsidRPr="007D387C">
        <w:rPr>
          <w:b/>
        </w:rPr>
        <w:t xml:space="preserve">Action Plan for </w:t>
      </w:r>
      <w:r w:rsidR="0063107D">
        <w:rPr>
          <w:b/>
        </w:rPr>
        <w:t>C</w:t>
      </w:r>
      <w:r w:rsidRPr="007D387C">
        <w:rPr>
          <w:b/>
        </w:rPr>
        <w:t xml:space="preserve">ombating </w:t>
      </w:r>
      <w:r w:rsidR="0063107D">
        <w:rPr>
          <w:b/>
        </w:rPr>
        <w:t>H</w:t>
      </w:r>
      <w:r w:rsidRPr="007D387C">
        <w:rPr>
          <w:b/>
        </w:rPr>
        <w:t xml:space="preserve">uman </w:t>
      </w:r>
      <w:r w:rsidR="0063107D">
        <w:rPr>
          <w:b/>
        </w:rPr>
        <w:t>T</w:t>
      </w:r>
      <w:r w:rsidRPr="007D387C">
        <w:rPr>
          <w:b/>
        </w:rPr>
        <w:t>rafficking 2009</w:t>
      </w:r>
      <w:r w:rsidR="0063107D">
        <w:rPr>
          <w:b/>
        </w:rPr>
        <w:t>–</w:t>
      </w:r>
      <w:r w:rsidRPr="007D387C">
        <w:rPr>
          <w:b/>
        </w:rPr>
        <w:t xml:space="preserve">2011 and adopt a new </w:t>
      </w:r>
      <w:r w:rsidR="006E0FD7">
        <w:rPr>
          <w:b/>
        </w:rPr>
        <w:t>action plan</w:t>
      </w:r>
      <w:r w:rsidR="006E0FD7" w:rsidRPr="007D387C">
        <w:rPr>
          <w:b/>
        </w:rPr>
        <w:t xml:space="preserve"> </w:t>
      </w:r>
      <w:r w:rsidRPr="007D387C">
        <w:rPr>
          <w:b/>
        </w:rPr>
        <w:t xml:space="preserve">without delay. </w:t>
      </w:r>
    </w:p>
    <w:p w:rsidR="002151CB" w:rsidRPr="00D14DD7" w:rsidRDefault="007D387C" w:rsidP="007D387C">
      <w:pPr>
        <w:pStyle w:val="H23G"/>
      </w:pPr>
      <w:r>
        <w:tab/>
      </w:r>
      <w:r>
        <w:tab/>
      </w:r>
      <w:r w:rsidR="002151CB" w:rsidRPr="00D14DD7">
        <w:t>Detention of persons with mental and psychosocial disabilities</w:t>
      </w:r>
    </w:p>
    <w:p w:rsidR="002151CB" w:rsidRPr="00D14DD7" w:rsidRDefault="004F246E" w:rsidP="004F246E">
      <w:pPr>
        <w:pStyle w:val="SingleTxtG"/>
      </w:pPr>
      <w:r w:rsidRPr="00D14DD7">
        <w:t>18.</w:t>
      </w:r>
      <w:r w:rsidRPr="00D14DD7">
        <w:tab/>
      </w:r>
      <w:r w:rsidR="002151CB" w:rsidRPr="00D14DD7">
        <w:t xml:space="preserve">Notwithstanding Law </w:t>
      </w:r>
      <w:r w:rsidR="0063107D">
        <w:t xml:space="preserve">No. </w:t>
      </w:r>
      <w:r w:rsidR="002151CB" w:rsidRPr="00D14DD7">
        <w:t>45/13 on the Protection of Persons with Mental Disabilities, the Committee notes with concern</w:t>
      </w:r>
      <w:r w:rsidR="002151CB">
        <w:t xml:space="preserve"> that a large number of </w:t>
      </w:r>
      <w:r w:rsidR="002151CB" w:rsidRPr="00D14DD7">
        <w:t xml:space="preserve">persons with mental and psychosocial disabilities, including </w:t>
      </w:r>
      <w:r w:rsidR="00F82F13">
        <w:t>o</w:t>
      </w:r>
      <w:r w:rsidR="002151CB">
        <w:t>lder people</w:t>
      </w:r>
      <w:r w:rsidR="002151CB" w:rsidRPr="00D14DD7">
        <w:t>,</w:t>
      </w:r>
      <w:r w:rsidR="002151CB">
        <w:t xml:space="preserve"> are confined </w:t>
      </w:r>
      <w:r w:rsidR="00F82F13" w:rsidRPr="00F82F13">
        <w:t>involuntarily</w:t>
      </w:r>
      <w:r w:rsidR="00F82F13">
        <w:t xml:space="preserve"> </w:t>
      </w:r>
      <w:r w:rsidR="002151CB">
        <w:t>in psychiatric institutions</w:t>
      </w:r>
      <w:r w:rsidR="002151CB" w:rsidRPr="00D14DD7">
        <w:t xml:space="preserve"> </w:t>
      </w:r>
      <w:r w:rsidR="002151CB">
        <w:t>and</w:t>
      </w:r>
      <w:r w:rsidR="002151CB" w:rsidRPr="00D14DD7">
        <w:t xml:space="preserve"> that almost no pro</w:t>
      </w:r>
      <w:r w:rsidR="002151CB">
        <w:t xml:space="preserve">gress has been made towards </w:t>
      </w:r>
      <w:r w:rsidR="002151CB" w:rsidRPr="00D14DD7">
        <w:t>deinstitutionali</w:t>
      </w:r>
      <w:r w:rsidR="00F82F13">
        <w:t>z</w:t>
      </w:r>
      <w:r w:rsidR="002151CB" w:rsidRPr="00D14DD7">
        <w:t xml:space="preserve">ation. The Committee also takes note of </w:t>
      </w:r>
      <w:r w:rsidR="0054189E">
        <w:t xml:space="preserve">reports of </w:t>
      </w:r>
      <w:r w:rsidR="002151CB" w:rsidRPr="00D14DD7">
        <w:t xml:space="preserve">instances in which persons admitted against their will </w:t>
      </w:r>
      <w:r w:rsidR="0054189E">
        <w:t>to</w:t>
      </w:r>
      <w:r w:rsidR="002151CB" w:rsidRPr="00D14DD7">
        <w:t xml:space="preserve"> psychiatric hospitals were not able to be heard before a judge or be informed of the court decision and legal remedies available. The Committee also notes that Law</w:t>
      </w:r>
      <w:r w:rsidR="0054189E">
        <w:t xml:space="preserve"> No.</w:t>
      </w:r>
      <w:r w:rsidR="002151CB" w:rsidRPr="00D14DD7">
        <w:t xml:space="preserve"> 45/13 continues to </w:t>
      </w:r>
      <w:r w:rsidR="00686285">
        <w:t>contain provisions that</w:t>
      </w:r>
      <w:r w:rsidR="0054189E">
        <w:t xml:space="preserve"> </w:t>
      </w:r>
      <w:r w:rsidR="002151CB" w:rsidRPr="00D14DD7">
        <w:t xml:space="preserve">support </w:t>
      </w:r>
      <w:r w:rsidR="0054189E">
        <w:t xml:space="preserve">the </w:t>
      </w:r>
      <w:r w:rsidR="002151CB" w:rsidRPr="00D14DD7">
        <w:t>isolation and physical restraint of psychiatric patients</w:t>
      </w:r>
      <w:r w:rsidR="003B79C5">
        <w:t>,</w:t>
      </w:r>
      <w:r w:rsidR="002151CB" w:rsidRPr="00D14DD7">
        <w:t xml:space="preserve"> and is concerned at information that seclusion is still </w:t>
      </w:r>
      <w:r w:rsidR="007A425D">
        <w:t>used</w:t>
      </w:r>
      <w:r w:rsidR="002151CB" w:rsidRPr="00D14DD7">
        <w:t xml:space="preserve"> in the Centre for Children and Youth with Developmental Disabilities in </w:t>
      </w:r>
      <w:proofErr w:type="spellStart"/>
      <w:r w:rsidR="002151CB" w:rsidRPr="00D14DD7">
        <w:t>Veternik</w:t>
      </w:r>
      <w:proofErr w:type="spellEnd"/>
      <w:r w:rsidR="002151CB" w:rsidRPr="00D14DD7">
        <w:t xml:space="preserve"> and </w:t>
      </w:r>
      <w:r w:rsidR="0054189E">
        <w:t xml:space="preserve">that </w:t>
      </w:r>
      <w:r w:rsidR="002151CB" w:rsidRPr="00D14DD7">
        <w:t>mechanical restraints have been used in psychiatric hospitals without continuous staff monitoring, in full view of other patients and, occasionally, for excessive periods of time. The Committee is also concern</w:t>
      </w:r>
      <w:r w:rsidR="0054189E">
        <w:t>ed</w:t>
      </w:r>
      <w:r w:rsidR="002151CB" w:rsidRPr="00D14DD7">
        <w:t xml:space="preserve"> at reports that excessive use of restrictive measures in mental </w:t>
      </w:r>
      <w:r w:rsidR="002D57D5">
        <w:t>health</w:t>
      </w:r>
      <w:r w:rsidR="0054189E">
        <w:t>-</w:t>
      </w:r>
      <w:r w:rsidR="002D57D5">
        <w:t>care</w:t>
      </w:r>
      <w:r w:rsidR="002151CB" w:rsidRPr="00D14DD7">
        <w:t xml:space="preserve"> institutions are not sufficiently investigated (arts.</w:t>
      </w:r>
      <w:r w:rsidR="00620844">
        <w:t> </w:t>
      </w:r>
      <w:r w:rsidR="002151CB" w:rsidRPr="00D14DD7">
        <w:t xml:space="preserve">2, 11, 13 and 16). </w:t>
      </w:r>
    </w:p>
    <w:p w:rsidR="002151CB" w:rsidRPr="007D387C" w:rsidRDefault="002151CB" w:rsidP="00D0401A">
      <w:pPr>
        <w:pStyle w:val="SingleTxtG"/>
        <w:keepNext/>
        <w:rPr>
          <w:b/>
        </w:rPr>
      </w:pPr>
      <w:r w:rsidRPr="007D387C">
        <w:rPr>
          <w:b/>
        </w:rPr>
        <w:lastRenderedPageBreak/>
        <w:t xml:space="preserve">The Committee recommends </w:t>
      </w:r>
      <w:r w:rsidR="0054189E">
        <w:rPr>
          <w:b/>
        </w:rPr>
        <w:t xml:space="preserve">that </w:t>
      </w:r>
      <w:r w:rsidRPr="007D387C">
        <w:rPr>
          <w:b/>
        </w:rPr>
        <w:t xml:space="preserve">the State party: </w:t>
      </w:r>
    </w:p>
    <w:p w:rsidR="002151CB" w:rsidRPr="007D387C" w:rsidRDefault="007D387C" w:rsidP="00D0401A">
      <w:pPr>
        <w:pStyle w:val="SingleTxtG"/>
        <w:ind w:firstLine="567"/>
        <w:rPr>
          <w:b/>
        </w:rPr>
      </w:pPr>
      <w:r w:rsidRPr="00D0401A">
        <w:rPr>
          <w:bCs/>
        </w:rPr>
        <w:t>(a)</w:t>
      </w:r>
      <w:r w:rsidR="002151CB" w:rsidRPr="007D387C">
        <w:rPr>
          <w:b/>
        </w:rPr>
        <w:tab/>
        <w:t>Accelerate the development of alternative community-based support measures to reduce the number of institutionali</w:t>
      </w:r>
      <w:r w:rsidR="008D5447">
        <w:rPr>
          <w:b/>
        </w:rPr>
        <w:t>z</w:t>
      </w:r>
      <w:r w:rsidR="002151CB" w:rsidRPr="007D387C">
        <w:rPr>
          <w:b/>
        </w:rPr>
        <w:t xml:space="preserve">ed persons with mental and psychosocial disabilities and ensure that involuntary confinement in places of </w:t>
      </w:r>
      <w:r w:rsidR="008B06A7">
        <w:rPr>
          <w:b/>
        </w:rPr>
        <w:t>detention</w:t>
      </w:r>
      <w:r w:rsidR="002151CB" w:rsidRPr="007D387C">
        <w:rPr>
          <w:b/>
        </w:rPr>
        <w:t xml:space="preserve">, including psychiatric and social care institutions, is done only on the basis of a legal decision that is subject to periodic judicial review, guaranteeing all effective legal safeguards; </w:t>
      </w:r>
    </w:p>
    <w:p w:rsidR="002151CB" w:rsidRPr="007D387C" w:rsidRDefault="002151CB" w:rsidP="00D0401A">
      <w:pPr>
        <w:pStyle w:val="SingleTxtG"/>
        <w:ind w:firstLine="567"/>
        <w:rPr>
          <w:b/>
        </w:rPr>
      </w:pPr>
      <w:r w:rsidRPr="00D0401A">
        <w:rPr>
          <w:bCs/>
        </w:rPr>
        <w:t>(b)</w:t>
      </w:r>
      <w:r w:rsidRPr="007D387C">
        <w:rPr>
          <w:b/>
        </w:rPr>
        <w:tab/>
        <w:t xml:space="preserve">Amend legislation to prohibit the use of seclusion on children and persons with mental and psychosocial disabilities and ensure that the use of restraints is avoided or applied only as a measure of last resort, when all other alternatives for control have failed, for the shortest possible time, under strict medical supervision, and that any such measure is duly recorded; </w:t>
      </w:r>
    </w:p>
    <w:p w:rsidR="002151CB" w:rsidRPr="007D387C" w:rsidRDefault="002151CB" w:rsidP="007A425D">
      <w:pPr>
        <w:pStyle w:val="SingleTxtG"/>
        <w:ind w:firstLine="567"/>
        <w:rPr>
          <w:b/>
        </w:rPr>
      </w:pPr>
      <w:r w:rsidRPr="00D0401A">
        <w:rPr>
          <w:bCs/>
        </w:rPr>
        <w:t>(c)</w:t>
      </w:r>
      <w:r w:rsidRPr="007D387C">
        <w:rPr>
          <w:b/>
        </w:rPr>
        <w:tab/>
        <w:t xml:space="preserve">Carry out frequent inspections and </w:t>
      </w:r>
      <w:r w:rsidR="008D5447">
        <w:rPr>
          <w:b/>
        </w:rPr>
        <w:t>investigate,</w:t>
      </w:r>
      <w:r w:rsidR="008D5447" w:rsidRPr="007D387C">
        <w:rPr>
          <w:b/>
        </w:rPr>
        <w:t xml:space="preserve"> </w:t>
      </w:r>
      <w:r w:rsidRPr="007D387C">
        <w:rPr>
          <w:b/>
        </w:rPr>
        <w:t>effective</w:t>
      </w:r>
      <w:r w:rsidR="008D5447">
        <w:rPr>
          <w:b/>
        </w:rPr>
        <w:t>ly</w:t>
      </w:r>
      <w:r w:rsidRPr="007D387C">
        <w:rPr>
          <w:b/>
        </w:rPr>
        <w:t xml:space="preserve"> and impartial</w:t>
      </w:r>
      <w:r w:rsidR="008D5447">
        <w:rPr>
          <w:b/>
        </w:rPr>
        <w:t xml:space="preserve">ly, </w:t>
      </w:r>
      <w:r w:rsidRPr="007D387C">
        <w:rPr>
          <w:b/>
        </w:rPr>
        <w:t xml:space="preserve">incidents of ill-treatment and excessive use of restrictive measures in psychiatric institutions and provide </w:t>
      </w:r>
      <w:r w:rsidR="007A425D" w:rsidRPr="007A425D">
        <w:rPr>
          <w:b/>
        </w:rPr>
        <w:t>victims</w:t>
      </w:r>
      <w:r w:rsidR="007A425D">
        <w:rPr>
          <w:b/>
        </w:rPr>
        <w:t xml:space="preserve"> with </w:t>
      </w:r>
      <w:r w:rsidRPr="007D387C">
        <w:rPr>
          <w:b/>
        </w:rPr>
        <w:t>remedies and redress;</w:t>
      </w:r>
    </w:p>
    <w:p w:rsidR="002151CB" w:rsidRPr="007D387C" w:rsidRDefault="002151CB" w:rsidP="00D0401A">
      <w:pPr>
        <w:pStyle w:val="SingleTxtG"/>
        <w:ind w:firstLine="567"/>
        <w:rPr>
          <w:b/>
          <w:color w:val="000000"/>
        </w:rPr>
      </w:pPr>
      <w:r w:rsidRPr="00D0401A">
        <w:rPr>
          <w:bCs/>
          <w:color w:val="000000"/>
        </w:rPr>
        <w:t>(d)</w:t>
      </w:r>
      <w:r w:rsidRPr="00D0401A">
        <w:rPr>
          <w:bCs/>
          <w:color w:val="000000"/>
        </w:rPr>
        <w:tab/>
      </w:r>
      <w:r w:rsidRPr="007D387C">
        <w:rPr>
          <w:b/>
          <w:color w:val="000000"/>
        </w:rPr>
        <w:t xml:space="preserve">Improve the conditions of detention and treatment of </w:t>
      </w:r>
      <w:r w:rsidRPr="007D387C">
        <w:rPr>
          <w:b/>
        </w:rPr>
        <w:t>persons with mental and psychosocial disabilities in psychiatric institutions and other centres in order to better respect their privacy and prepare them for an adequate return to the community.</w:t>
      </w:r>
      <w:r w:rsidR="003E40EF">
        <w:rPr>
          <w:b/>
        </w:rPr>
        <w:t xml:space="preserve"> </w:t>
      </w:r>
    </w:p>
    <w:p w:rsidR="002151CB" w:rsidRPr="00D14DD7" w:rsidRDefault="002151CB" w:rsidP="002151CB">
      <w:pPr>
        <w:pStyle w:val="H23G"/>
      </w:pPr>
      <w:r w:rsidRPr="00D14DD7">
        <w:tab/>
      </w:r>
      <w:r w:rsidRPr="00D14DD7">
        <w:tab/>
        <w:t>Attacks on journalists, human rights defenders and minorities</w:t>
      </w:r>
    </w:p>
    <w:p w:rsidR="002151CB" w:rsidRPr="00D14DD7" w:rsidRDefault="004F246E" w:rsidP="004F246E">
      <w:pPr>
        <w:pStyle w:val="SingleTxtG"/>
      </w:pPr>
      <w:r w:rsidRPr="00D14DD7">
        <w:t>19.</w:t>
      </w:r>
      <w:r w:rsidRPr="00D14DD7">
        <w:tab/>
      </w:r>
      <w:r w:rsidR="002151CB" w:rsidRPr="00D14DD7">
        <w:t>The Committee is highly concerned that human rights defenders, journalists</w:t>
      </w:r>
      <w:r w:rsidR="002151CB">
        <w:t xml:space="preserve">, </w:t>
      </w:r>
      <w:r w:rsidR="002151CB" w:rsidRPr="00D14DD7">
        <w:t xml:space="preserve">lesbian, gay, bisexual, transgender and intersex persons </w:t>
      </w:r>
      <w:r w:rsidR="002151CB">
        <w:t xml:space="preserve">and members of the Roma community </w:t>
      </w:r>
      <w:r w:rsidR="002151CB" w:rsidRPr="00D14DD7">
        <w:t xml:space="preserve">continue to be </w:t>
      </w:r>
      <w:r w:rsidR="005401DE" w:rsidRPr="00D14DD7">
        <w:t>attacked</w:t>
      </w:r>
      <w:r w:rsidR="005401DE">
        <w:t>,</w:t>
      </w:r>
      <w:r w:rsidR="002151CB" w:rsidRPr="00D14DD7">
        <w:t xml:space="preserve"> threatened and intimidated.</w:t>
      </w:r>
      <w:r w:rsidR="003E40EF">
        <w:t xml:space="preserve"> </w:t>
      </w:r>
      <w:r w:rsidR="002151CB" w:rsidRPr="00D14DD7">
        <w:t>It regrets the lack of complete statistics on the number of complaints</w:t>
      </w:r>
      <w:r w:rsidR="008D5447">
        <w:t xml:space="preserve"> of</w:t>
      </w:r>
      <w:r w:rsidR="002151CB" w:rsidRPr="00D14DD7">
        <w:t xml:space="preserve"> and convictions for threats and attacks on these groups and on measures taken to prevent such acts. The Committee is also greatly concerned </w:t>
      </w:r>
      <w:r w:rsidR="008D5447">
        <w:t>at</w:t>
      </w:r>
      <w:r w:rsidR="008D5447" w:rsidRPr="00D14DD7">
        <w:t xml:space="preserve"> </w:t>
      </w:r>
      <w:r w:rsidR="002151CB" w:rsidRPr="00D14DD7">
        <w:t>reports that law enforcement authorities fail to act with due diligence in investigating and punishing these cases and in applying legal provisions for crimes motivated by hate (arts.</w:t>
      </w:r>
      <w:r w:rsidR="008D783D">
        <w:t> </w:t>
      </w:r>
      <w:r w:rsidR="002151CB" w:rsidRPr="00D14DD7">
        <w:t>2, 12, 13 and 16).</w:t>
      </w:r>
    </w:p>
    <w:p w:rsidR="002151CB" w:rsidRPr="00D14DD7" w:rsidRDefault="002151CB" w:rsidP="000524AA">
      <w:pPr>
        <w:pStyle w:val="SingleTxtG"/>
        <w:rPr>
          <w:b/>
          <w:bCs/>
        </w:rPr>
      </w:pPr>
      <w:r w:rsidRPr="00D14DD7">
        <w:rPr>
          <w:b/>
          <w:bCs/>
        </w:rPr>
        <w:t>The Committee calls on the State party to publicly condemn threats and attacks on human rights defe</w:t>
      </w:r>
      <w:r>
        <w:rPr>
          <w:b/>
          <w:bCs/>
        </w:rPr>
        <w:t xml:space="preserve">nders, journalists, </w:t>
      </w:r>
      <w:r w:rsidR="008D5447" w:rsidRPr="008D5447">
        <w:rPr>
          <w:b/>
          <w:bCs/>
        </w:rPr>
        <w:t>lesbian, gay, bis</w:t>
      </w:r>
      <w:r w:rsidR="008D5447">
        <w:rPr>
          <w:b/>
          <w:bCs/>
        </w:rPr>
        <w:t>exual, transgender and intersex</w:t>
      </w:r>
      <w:r w:rsidRPr="00D14DD7">
        <w:rPr>
          <w:b/>
          <w:bCs/>
        </w:rPr>
        <w:t xml:space="preserve"> persons</w:t>
      </w:r>
      <w:r>
        <w:rPr>
          <w:b/>
          <w:bCs/>
        </w:rPr>
        <w:t xml:space="preserve"> and members of the Roma community</w:t>
      </w:r>
      <w:r w:rsidRPr="00D14DD7">
        <w:rPr>
          <w:b/>
          <w:bCs/>
        </w:rPr>
        <w:t xml:space="preserve"> and refrain from supporting, through action or omission, </w:t>
      </w:r>
      <w:r w:rsidR="000524AA">
        <w:rPr>
          <w:b/>
          <w:bCs/>
        </w:rPr>
        <w:t>such</w:t>
      </w:r>
      <w:r w:rsidR="000524AA" w:rsidRPr="00D14DD7">
        <w:rPr>
          <w:b/>
          <w:bCs/>
        </w:rPr>
        <w:t xml:space="preserve"> </w:t>
      </w:r>
      <w:r w:rsidRPr="00D14DD7">
        <w:rPr>
          <w:b/>
          <w:bCs/>
        </w:rPr>
        <w:t>attacks by ensuring:</w:t>
      </w:r>
    </w:p>
    <w:p w:rsidR="002151CB" w:rsidRPr="00D14DD7" w:rsidRDefault="002151CB" w:rsidP="00D0401A">
      <w:pPr>
        <w:pStyle w:val="SingleTxtG"/>
        <w:ind w:firstLine="567"/>
        <w:rPr>
          <w:b/>
          <w:bCs/>
        </w:rPr>
      </w:pPr>
      <w:r w:rsidRPr="00D0401A">
        <w:t>(a)</w:t>
      </w:r>
      <w:r w:rsidRPr="00D14DD7">
        <w:rPr>
          <w:b/>
          <w:bCs/>
        </w:rPr>
        <w:tab/>
        <w:t xml:space="preserve">The effective protection </w:t>
      </w:r>
      <w:r w:rsidR="008D5447">
        <w:rPr>
          <w:b/>
          <w:bCs/>
        </w:rPr>
        <w:t xml:space="preserve">of these groups </w:t>
      </w:r>
      <w:r w:rsidRPr="00D14DD7">
        <w:rPr>
          <w:b/>
          <w:bCs/>
        </w:rPr>
        <w:t>against threats and attacks to which they may be exposed on account of their activities</w:t>
      </w:r>
      <w:r>
        <w:rPr>
          <w:b/>
          <w:bCs/>
        </w:rPr>
        <w:t xml:space="preserve">, </w:t>
      </w:r>
      <w:r w:rsidRPr="00D14DD7">
        <w:rPr>
          <w:b/>
          <w:bCs/>
        </w:rPr>
        <w:t>sexual orientation</w:t>
      </w:r>
      <w:r>
        <w:rPr>
          <w:b/>
          <w:bCs/>
        </w:rPr>
        <w:t xml:space="preserve"> or ethnic origin</w:t>
      </w:r>
      <w:r w:rsidRPr="00D14DD7">
        <w:rPr>
          <w:b/>
          <w:bCs/>
        </w:rPr>
        <w:t>;</w:t>
      </w:r>
    </w:p>
    <w:p w:rsidR="002151CB" w:rsidRPr="00D14DD7" w:rsidRDefault="002151CB" w:rsidP="00D0401A">
      <w:pPr>
        <w:pStyle w:val="SingleTxtG"/>
        <w:ind w:firstLine="567"/>
        <w:rPr>
          <w:b/>
          <w:bCs/>
        </w:rPr>
      </w:pPr>
      <w:r w:rsidRPr="00D0401A">
        <w:t>(b)</w:t>
      </w:r>
      <w:r w:rsidRPr="00D14DD7">
        <w:rPr>
          <w:b/>
          <w:bCs/>
        </w:rPr>
        <w:tab/>
        <w:t>Prompt, thorough and effective investigations of all threats and attacks targeting these groups, including any alleged discriminatory motives that may provoke these actions, and guaranteeing that those responsible are tried and punished in accordance with the gravity of their acts;</w:t>
      </w:r>
    </w:p>
    <w:p w:rsidR="002151CB" w:rsidRPr="00D14DD7" w:rsidRDefault="002151CB" w:rsidP="008D5447">
      <w:pPr>
        <w:pStyle w:val="SingleTxtG"/>
        <w:ind w:firstLine="567"/>
        <w:rPr>
          <w:b/>
          <w:bCs/>
        </w:rPr>
      </w:pPr>
      <w:r w:rsidRPr="00D0401A">
        <w:t>(c)</w:t>
      </w:r>
      <w:r w:rsidRPr="00D0401A">
        <w:tab/>
      </w:r>
      <w:r w:rsidRPr="00D14DD7">
        <w:rPr>
          <w:b/>
          <w:bCs/>
        </w:rPr>
        <w:t xml:space="preserve">Effective training of law-enforcement officials and </w:t>
      </w:r>
      <w:r w:rsidR="001E39F1">
        <w:rPr>
          <w:b/>
          <w:bCs/>
        </w:rPr>
        <w:t xml:space="preserve">the </w:t>
      </w:r>
      <w:r w:rsidRPr="00D14DD7">
        <w:rPr>
          <w:b/>
          <w:bCs/>
        </w:rPr>
        <w:t>judiciary on hate-motivated crimes and</w:t>
      </w:r>
      <w:r w:rsidR="00A33C79">
        <w:rPr>
          <w:b/>
          <w:bCs/>
        </w:rPr>
        <w:t xml:space="preserve"> </w:t>
      </w:r>
      <w:r w:rsidR="002B2595">
        <w:rPr>
          <w:b/>
          <w:bCs/>
        </w:rPr>
        <w:t>the</w:t>
      </w:r>
      <w:r w:rsidRPr="00D14DD7">
        <w:rPr>
          <w:b/>
          <w:bCs/>
        </w:rPr>
        <w:t xml:space="preserve"> systematic monitoring</w:t>
      </w:r>
      <w:r w:rsidR="00A33C79">
        <w:rPr>
          <w:b/>
          <w:bCs/>
        </w:rPr>
        <w:t xml:space="preserve"> of such crimes</w:t>
      </w:r>
      <w:r w:rsidRPr="00D14DD7">
        <w:rPr>
          <w:b/>
          <w:bCs/>
        </w:rPr>
        <w:t>;</w:t>
      </w:r>
    </w:p>
    <w:p w:rsidR="002151CB" w:rsidRPr="00D14DD7" w:rsidRDefault="002151CB" w:rsidP="002151CB">
      <w:pPr>
        <w:pStyle w:val="SingleTxtG"/>
        <w:ind w:firstLine="567"/>
        <w:rPr>
          <w:b/>
          <w:bCs/>
        </w:rPr>
      </w:pPr>
      <w:r w:rsidRPr="00D0401A">
        <w:t>(d)</w:t>
      </w:r>
      <w:r w:rsidRPr="00D14DD7">
        <w:rPr>
          <w:b/>
          <w:bCs/>
        </w:rPr>
        <w:tab/>
        <w:t>Awareness-raising measures to counter prejudice and stereotypes</w:t>
      </w:r>
      <w:r w:rsidR="008D5447">
        <w:rPr>
          <w:b/>
          <w:bCs/>
        </w:rPr>
        <w:t>,</w:t>
      </w:r>
      <w:r w:rsidRPr="00D14DD7">
        <w:rPr>
          <w:b/>
          <w:bCs/>
        </w:rPr>
        <w:t xml:space="preserve"> and policies to combat and prevent hate-related crimes and discrimination, in particular on th</w:t>
      </w:r>
      <w:r>
        <w:rPr>
          <w:b/>
          <w:bCs/>
        </w:rPr>
        <w:t>e basis of sexual orientation,</w:t>
      </w:r>
      <w:r w:rsidRPr="00D14DD7">
        <w:rPr>
          <w:b/>
          <w:bCs/>
        </w:rPr>
        <w:t xml:space="preserve"> identity</w:t>
      </w:r>
      <w:r>
        <w:rPr>
          <w:b/>
          <w:bCs/>
        </w:rPr>
        <w:t xml:space="preserve"> or ethnic origin</w:t>
      </w:r>
      <w:r w:rsidRPr="00D14DD7">
        <w:rPr>
          <w:b/>
          <w:bCs/>
        </w:rPr>
        <w:t>.</w:t>
      </w:r>
    </w:p>
    <w:p w:rsidR="002151CB" w:rsidRDefault="002151CB" w:rsidP="002151CB">
      <w:pPr>
        <w:pStyle w:val="H23G"/>
      </w:pPr>
      <w:r w:rsidRPr="00D14DD7">
        <w:lastRenderedPageBreak/>
        <w:tab/>
      </w:r>
      <w:r w:rsidRPr="00D14DD7">
        <w:tab/>
      </w:r>
      <w:r>
        <w:t>Training</w:t>
      </w:r>
    </w:p>
    <w:p w:rsidR="002151CB" w:rsidRDefault="004F246E" w:rsidP="004F246E">
      <w:pPr>
        <w:pStyle w:val="SingleTxtG"/>
      </w:pPr>
      <w:r>
        <w:t>20.</w:t>
      </w:r>
      <w:r>
        <w:tab/>
      </w:r>
      <w:r w:rsidR="002151CB">
        <w:rPr>
          <w:lang w:val="en-US"/>
        </w:rPr>
        <w:t>T</w:t>
      </w:r>
      <w:r w:rsidR="002151CB" w:rsidRPr="009B4AC6">
        <w:t xml:space="preserve">he Committee notes </w:t>
      </w:r>
      <w:r w:rsidR="002151CB">
        <w:rPr>
          <w:lang w:val="en-US"/>
        </w:rPr>
        <w:t>that</w:t>
      </w:r>
      <w:r w:rsidR="002151CB" w:rsidRPr="009B4AC6">
        <w:t xml:space="preserve"> training on the provisions of the Convention</w:t>
      </w:r>
      <w:r w:rsidR="002151CB">
        <w:rPr>
          <w:lang w:val="en-US"/>
        </w:rPr>
        <w:t xml:space="preserve"> is not provided on a regular basis to persons involved in the treatment of persons deprived of their liberty. </w:t>
      </w:r>
      <w:r w:rsidR="008D5447">
        <w:t>It</w:t>
      </w:r>
      <w:r w:rsidR="002151CB" w:rsidRPr="009B4AC6">
        <w:t xml:space="preserve"> is also concerned that the guidelines set out in the </w:t>
      </w:r>
      <w:r w:rsidR="002F671F">
        <w:t xml:space="preserve">Manual on the Effective Investigation and Documentation of Torture and </w:t>
      </w:r>
      <w:r w:rsidR="008D5447">
        <w:t>O</w:t>
      </w:r>
      <w:r w:rsidR="002F671F">
        <w:t xml:space="preserve">ther Cruel, Inhuman or Degrading Treatment or Punishment (the </w:t>
      </w:r>
      <w:r w:rsidR="002151CB" w:rsidRPr="009B4AC6">
        <w:t>Istanbul Protocol</w:t>
      </w:r>
      <w:r w:rsidR="002F671F">
        <w:t>)</w:t>
      </w:r>
      <w:r w:rsidR="002151CB" w:rsidRPr="009B4AC6">
        <w:t xml:space="preserve"> have not been fully incorporated in investigations into cases of torture or ill-treatment (art. 10).</w:t>
      </w:r>
    </w:p>
    <w:p w:rsidR="002151CB" w:rsidRPr="00B23F0E" w:rsidRDefault="002151CB" w:rsidP="00D0401A">
      <w:pPr>
        <w:pStyle w:val="SingleTxtG"/>
        <w:keepNext/>
        <w:rPr>
          <w:b/>
          <w:bCs/>
        </w:rPr>
      </w:pPr>
      <w:r w:rsidRPr="00B23F0E">
        <w:rPr>
          <w:b/>
          <w:bCs/>
        </w:rPr>
        <w:t xml:space="preserve">The State party should: </w:t>
      </w:r>
    </w:p>
    <w:p w:rsidR="002151CB" w:rsidRPr="00B23F0E" w:rsidRDefault="002151CB" w:rsidP="00D0401A">
      <w:pPr>
        <w:pStyle w:val="SingleTxtG"/>
        <w:ind w:firstLine="567"/>
        <w:rPr>
          <w:b/>
          <w:bCs/>
        </w:rPr>
      </w:pPr>
      <w:r w:rsidRPr="00D0401A">
        <w:t>(a)</w:t>
      </w:r>
      <w:r w:rsidRPr="00B23F0E">
        <w:rPr>
          <w:b/>
          <w:bCs/>
        </w:rPr>
        <w:tab/>
        <w:t xml:space="preserve">Develop modules on the provisions of the Convention in the periodic and compulsory training programmes </w:t>
      </w:r>
      <w:r w:rsidR="00E53B84">
        <w:rPr>
          <w:b/>
          <w:bCs/>
        </w:rPr>
        <w:t>of</w:t>
      </w:r>
      <w:r w:rsidRPr="00B23F0E">
        <w:rPr>
          <w:b/>
          <w:bCs/>
        </w:rPr>
        <w:t xml:space="preserve"> law enforcement officials, judges, prosecutors</w:t>
      </w:r>
      <w:r w:rsidR="008D5447">
        <w:rPr>
          <w:b/>
          <w:bCs/>
        </w:rPr>
        <w:t xml:space="preserve"> and</w:t>
      </w:r>
      <w:r w:rsidRPr="00B23F0E">
        <w:rPr>
          <w:b/>
          <w:bCs/>
        </w:rPr>
        <w:t xml:space="preserve"> prison</w:t>
      </w:r>
      <w:r>
        <w:rPr>
          <w:b/>
          <w:bCs/>
        </w:rPr>
        <w:t xml:space="preserve"> and</w:t>
      </w:r>
      <w:r w:rsidRPr="00B23F0E">
        <w:rPr>
          <w:b/>
          <w:bCs/>
        </w:rPr>
        <w:t xml:space="preserve"> immigration officers; </w:t>
      </w:r>
    </w:p>
    <w:p w:rsidR="002151CB" w:rsidRDefault="002151CB" w:rsidP="00F050D1">
      <w:pPr>
        <w:pStyle w:val="SingleTxtG"/>
        <w:ind w:firstLine="567"/>
        <w:rPr>
          <w:b/>
        </w:rPr>
      </w:pPr>
      <w:r w:rsidRPr="00D0401A">
        <w:rPr>
          <w:rFonts w:eastAsia="Calibri"/>
          <w:bCs/>
          <w:lang w:eastAsia="en-GB"/>
        </w:rPr>
        <w:t>(b)</w:t>
      </w:r>
      <w:r w:rsidRPr="00D0401A">
        <w:rPr>
          <w:rFonts w:eastAsia="Calibri"/>
          <w:bCs/>
          <w:lang w:eastAsia="en-GB"/>
        </w:rPr>
        <w:tab/>
      </w:r>
      <w:r w:rsidRPr="00D14DD7">
        <w:rPr>
          <w:rFonts w:eastAsia="Calibri"/>
          <w:b/>
          <w:lang w:eastAsia="en-GB"/>
        </w:rPr>
        <w:t>P</w:t>
      </w:r>
      <w:r w:rsidRPr="00D14DD7">
        <w:rPr>
          <w:b/>
          <w:color w:val="000000"/>
        </w:rPr>
        <w:t xml:space="preserve">rovide regular training on the procedures established in the Istanbul Protocol to police officers, asylum officers, judges, </w:t>
      </w:r>
      <w:r>
        <w:rPr>
          <w:b/>
          <w:color w:val="000000"/>
        </w:rPr>
        <w:t xml:space="preserve">prosecutors, </w:t>
      </w:r>
      <w:r w:rsidRPr="00D14DD7">
        <w:rPr>
          <w:b/>
          <w:color w:val="000000"/>
        </w:rPr>
        <w:t>penitentiary guards</w:t>
      </w:r>
      <w:r>
        <w:rPr>
          <w:b/>
          <w:color w:val="000000"/>
        </w:rPr>
        <w:t>, forensic doctors</w:t>
      </w:r>
      <w:r w:rsidRPr="00D14DD7">
        <w:rPr>
          <w:b/>
          <w:color w:val="000000"/>
        </w:rPr>
        <w:t xml:space="preserve"> and personnel working at reception or detention centres,</w:t>
      </w:r>
      <w:r w:rsidRPr="00D14DD7">
        <w:rPr>
          <w:b/>
          <w:i/>
          <w:color w:val="000000"/>
        </w:rPr>
        <w:t xml:space="preserve"> </w:t>
      </w:r>
      <w:r w:rsidRPr="00D14DD7">
        <w:rPr>
          <w:b/>
          <w:color w:val="000000"/>
        </w:rPr>
        <w:t xml:space="preserve">including </w:t>
      </w:r>
      <w:r w:rsidRPr="00D14DD7">
        <w:rPr>
          <w:b/>
        </w:rPr>
        <w:t>training on detecting psychological traces of torture and on gender-sensitive approaches</w:t>
      </w:r>
      <w:r w:rsidR="00F00D6A">
        <w:rPr>
          <w:b/>
        </w:rPr>
        <w:t>, and ensure that the guidelines set out in the Protocol are incorporated in</w:t>
      </w:r>
      <w:r w:rsidR="008D5447">
        <w:rPr>
          <w:b/>
        </w:rPr>
        <w:t>to</w:t>
      </w:r>
      <w:r w:rsidR="00F00D6A">
        <w:rPr>
          <w:b/>
        </w:rPr>
        <w:t xml:space="preserve"> the investigation of cases of torture or ill-treatment</w:t>
      </w:r>
      <w:r w:rsidRPr="00D14DD7">
        <w:rPr>
          <w:b/>
        </w:rPr>
        <w:t xml:space="preserve"> </w:t>
      </w:r>
    </w:p>
    <w:p w:rsidR="002151CB" w:rsidRPr="00D14DD7" w:rsidRDefault="002151CB" w:rsidP="00F050D1">
      <w:pPr>
        <w:pStyle w:val="H23G"/>
      </w:pPr>
      <w:r>
        <w:tab/>
      </w:r>
      <w:r>
        <w:tab/>
      </w:r>
      <w:r w:rsidRPr="00D14DD7">
        <w:t>Protector of Citizens</w:t>
      </w:r>
    </w:p>
    <w:p w:rsidR="002151CB" w:rsidRPr="00D14DD7" w:rsidRDefault="004F246E" w:rsidP="004F246E">
      <w:pPr>
        <w:pStyle w:val="SingleTxtG"/>
      </w:pPr>
      <w:r w:rsidRPr="00D14DD7">
        <w:t>21.</w:t>
      </w:r>
      <w:r w:rsidRPr="00D14DD7">
        <w:tab/>
      </w:r>
      <w:r w:rsidR="002151CB" w:rsidRPr="00D14DD7">
        <w:t xml:space="preserve">The Committee welcomes the adoption of the Law </w:t>
      </w:r>
      <w:r w:rsidR="004B3BC6">
        <w:t xml:space="preserve">No. </w:t>
      </w:r>
      <w:r w:rsidR="002151CB" w:rsidRPr="00D14DD7">
        <w:t xml:space="preserve">7/2011 designating the Protector of Citizens (Ombudsperson) as </w:t>
      </w:r>
      <w:r w:rsidR="002151CB">
        <w:t xml:space="preserve">a </w:t>
      </w:r>
      <w:r w:rsidR="00FB23D9">
        <w:t>n</w:t>
      </w:r>
      <w:r w:rsidR="002151CB">
        <w:t xml:space="preserve">ational </w:t>
      </w:r>
      <w:r w:rsidR="00FB23D9">
        <w:t>p</w:t>
      </w:r>
      <w:r w:rsidR="002151CB">
        <w:t xml:space="preserve">reventive </w:t>
      </w:r>
      <w:r w:rsidR="00FB23D9">
        <w:t>m</w:t>
      </w:r>
      <w:r w:rsidR="002151CB">
        <w:t xml:space="preserve">echanism </w:t>
      </w:r>
      <w:r w:rsidR="002151CB" w:rsidRPr="00D14DD7">
        <w:t xml:space="preserve">(NPM). However, </w:t>
      </w:r>
      <w:r w:rsidR="003544A9">
        <w:t>it</w:t>
      </w:r>
      <w:r w:rsidR="002151CB" w:rsidRPr="00D14DD7">
        <w:t xml:space="preserve"> is concerned </w:t>
      </w:r>
      <w:r w:rsidR="003544A9">
        <w:t>about</w:t>
      </w:r>
      <w:r w:rsidR="0015699A">
        <w:t xml:space="preserve"> </w:t>
      </w:r>
      <w:r w:rsidR="002151CB" w:rsidRPr="00D14DD7">
        <w:t xml:space="preserve">the lack of sufficient financial and permanent staffing resources provided to the Protector of Citizens to carry out the NPM mandate effectively. The Committee </w:t>
      </w:r>
      <w:r w:rsidR="002151CB">
        <w:t xml:space="preserve">also </w:t>
      </w:r>
      <w:r w:rsidR="002151CB" w:rsidRPr="00D14DD7">
        <w:t xml:space="preserve">regrets the lack of information regarding the degree of implementation of the order of the National Assembly to comply with the recommendations </w:t>
      </w:r>
      <w:r w:rsidR="00EC7BAE">
        <w:t>issued</w:t>
      </w:r>
      <w:r w:rsidR="00EC7BAE" w:rsidRPr="00D14DD7">
        <w:t xml:space="preserve"> </w:t>
      </w:r>
      <w:r w:rsidR="002151CB" w:rsidRPr="00D14DD7">
        <w:t xml:space="preserve">by the </w:t>
      </w:r>
      <w:r w:rsidR="002151CB">
        <w:t>NPM</w:t>
      </w:r>
      <w:r w:rsidR="002151CB" w:rsidRPr="00D14DD7">
        <w:t xml:space="preserve"> in 2013</w:t>
      </w:r>
      <w:r w:rsidR="002151CB">
        <w:t xml:space="preserve">. </w:t>
      </w:r>
      <w:r w:rsidR="00EC7BAE">
        <w:t>It</w:t>
      </w:r>
      <w:r w:rsidR="002151CB" w:rsidRPr="00D14DD7">
        <w:t xml:space="preserve"> </w:t>
      </w:r>
      <w:r w:rsidR="002151CB">
        <w:t>is further concerned</w:t>
      </w:r>
      <w:r w:rsidR="002151CB" w:rsidRPr="00D14DD7">
        <w:t xml:space="preserve"> at the attempt </w:t>
      </w:r>
      <w:r w:rsidR="00EC7BAE">
        <w:t>by</w:t>
      </w:r>
      <w:r w:rsidR="002151CB" w:rsidRPr="00D14DD7">
        <w:t xml:space="preserve"> the Security Services Control Committee</w:t>
      </w:r>
      <w:r w:rsidR="00EC7BAE">
        <w:t xml:space="preserve"> of the </w:t>
      </w:r>
      <w:r w:rsidR="00EC7BAE" w:rsidRPr="00EC7BAE">
        <w:t>National Assembly</w:t>
      </w:r>
      <w:r w:rsidR="002151CB" w:rsidRPr="00D14DD7">
        <w:t xml:space="preserve"> to challenge the competence</w:t>
      </w:r>
      <w:r w:rsidR="00EC7BAE">
        <w:t xml:space="preserve"> of the </w:t>
      </w:r>
      <w:r w:rsidR="00EC7BAE" w:rsidRPr="00EC7BAE">
        <w:t>Protector of Citizens</w:t>
      </w:r>
      <w:r w:rsidR="002151CB" w:rsidRPr="00D14DD7">
        <w:t xml:space="preserve"> to act upon </w:t>
      </w:r>
      <w:r w:rsidR="002151CB" w:rsidRPr="00EC7BAE">
        <w:t xml:space="preserve">complaints if criminal proceedings </w:t>
      </w:r>
      <w:r w:rsidR="00EC7BAE">
        <w:t>have been</w:t>
      </w:r>
      <w:r w:rsidR="00EC7BAE" w:rsidRPr="00EC7BAE">
        <w:t xml:space="preserve"> </w:t>
      </w:r>
      <w:r w:rsidR="002151CB" w:rsidRPr="00EC7BAE">
        <w:t>initiated</w:t>
      </w:r>
      <w:r w:rsidR="002151CB">
        <w:t xml:space="preserve"> </w:t>
      </w:r>
      <w:r w:rsidR="002151CB" w:rsidRPr="00D14DD7">
        <w:t>(art.</w:t>
      </w:r>
      <w:r w:rsidR="008D783D">
        <w:t> </w:t>
      </w:r>
      <w:r w:rsidR="002151CB" w:rsidRPr="00D14DD7">
        <w:t>2).</w:t>
      </w:r>
    </w:p>
    <w:p w:rsidR="002151CB" w:rsidRPr="00D14DD7" w:rsidRDefault="002151CB" w:rsidP="00EC7BAE">
      <w:pPr>
        <w:pStyle w:val="SingleTxtG"/>
        <w:rPr>
          <w:b/>
          <w:bCs/>
        </w:rPr>
      </w:pPr>
      <w:r w:rsidRPr="00D14DD7">
        <w:rPr>
          <w:b/>
          <w:bCs/>
        </w:rPr>
        <w:t>The State party should ensure the effective and independent operation of the Protector of Citizens and refrain from encroaching upon its mandate to act on complaints in individual cases, irrespective of whether or not criminal proceedings ha</w:t>
      </w:r>
      <w:r w:rsidR="00EC7BAE">
        <w:rPr>
          <w:b/>
          <w:bCs/>
        </w:rPr>
        <w:t>ve</w:t>
      </w:r>
      <w:r w:rsidRPr="00D14DD7">
        <w:rPr>
          <w:b/>
          <w:bCs/>
        </w:rPr>
        <w:t xml:space="preserve"> been initiated. The State party should also provide adequate and permanent staffing levels and material resources to ensure th</w:t>
      </w:r>
      <w:r w:rsidR="00EC7BAE">
        <w:rPr>
          <w:b/>
          <w:bCs/>
        </w:rPr>
        <w:t>at the</w:t>
      </w:r>
      <w:r w:rsidR="00EC7BAE" w:rsidRPr="00EC7BAE">
        <w:rPr>
          <w:b/>
          <w:bCs/>
        </w:rPr>
        <w:t xml:space="preserve"> Protector of Citizens</w:t>
      </w:r>
      <w:r w:rsidRPr="00D14DD7">
        <w:rPr>
          <w:b/>
          <w:bCs/>
        </w:rPr>
        <w:t xml:space="preserve"> </w:t>
      </w:r>
      <w:r w:rsidR="00EC7BAE">
        <w:rPr>
          <w:b/>
          <w:bCs/>
        </w:rPr>
        <w:t xml:space="preserve">can carry out </w:t>
      </w:r>
      <w:r w:rsidRPr="00D14DD7">
        <w:rPr>
          <w:b/>
          <w:bCs/>
        </w:rPr>
        <w:t>independent</w:t>
      </w:r>
      <w:r w:rsidR="00EC7BAE">
        <w:rPr>
          <w:b/>
          <w:bCs/>
        </w:rPr>
        <w:t>ly</w:t>
      </w:r>
      <w:r w:rsidRPr="00D14DD7">
        <w:rPr>
          <w:b/>
          <w:bCs/>
        </w:rPr>
        <w:t xml:space="preserve"> and effective</w:t>
      </w:r>
      <w:r w:rsidR="00EC7BAE">
        <w:rPr>
          <w:b/>
          <w:bCs/>
        </w:rPr>
        <w:t>ly</w:t>
      </w:r>
      <w:r w:rsidRPr="00D14DD7">
        <w:rPr>
          <w:b/>
          <w:bCs/>
        </w:rPr>
        <w:t xml:space="preserve"> the </w:t>
      </w:r>
      <w:r w:rsidR="00EC7BAE" w:rsidRPr="00EC7BAE">
        <w:rPr>
          <w:b/>
          <w:bCs/>
        </w:rPr>
        <w:t>national preventive mechanism</w:t>
      </w:r>
      <w:r w:rsidRPr="00D14DD7">
        <w:rPr>
          <w:b/>
          <w:bCs/>
        </w:rPr>
        <w:t xml:space="preserve"> mandate. The State party should also ensure that all relevant authorities comply with the order of the National Assembly to implement the recommendations of the Protector of Citizens without delay.</w:t>
      </w:r>
    </w:p>
    <w:p w:rsidR="002151CB" w:rsidRPr="00D14DD7" w:rsidRDefault="002151CB" w:rsidP="007D387C">
      <w:pPr>
        <w:pStyle w:val="H23G"/>
      </w:pPr>
      <w:r w:rsidRPr="00D14DD7">
        <w:tab/>
      </w:r>
      <w:r w:rsidRPr="00D14DD7">
        <w:tab/>
        <w:t>Independence of the judiciary</w:t>
      </w:r>
    </w:p>
    <w:p w:rsidR="002151CB" w:rsidRPr="00D14DD7" w:rsidRDefault="004F246E" w:rsidP="004F246E">
      <w:pPr>
        <w:pStyle w:val="SingleTxtG"/>
      </w:pPr>
      <w:r w:rsidRPr="00D14DD7">
        <w:t>22.</w:t>
      </w:r>
      <w:r w:rsidRPr="00D14DD7">
        <w:tab/>
      </w:r>
      <w:r w:rsidR="002151CB" w:rsidRPr="00D14DD7">
        <w:t xml:space="preserve">While welcoming the </w:t>
      </w:r>
      <w:r w:rsidR="00A75045">
        <w:t>measures taken to strengthen the independence of the judiciary (</w:t>
      </w:r>
      <w:r w:rsidR="00FB23D9">
        <w:t xml:space="preserve">see </w:t>
      </w:r>
      <w:r w:rsidR="00A75045">
        <w:t>para.</w:t>
      </w:r>
      <w:r w:rsidR="008D783D">
        <w:t> </w:t>
      </w:r>
      <w:r w:rsidR="00674D83">
        <w:t>7</w:t>
      </w:r>
      <w:r w:rsidR="001943C8">
        <w:t> </w:t>
      </w:r>
      <w:r w:rsidR="00A75045">
        <w:t>(b)</w:t>
      </w:r>
      <w:r w:rsidR="00A75045" w:rsidRPr="00A75045">
        <w:t xml:space="preserve"> </w:t>
      </w:r>
      <w:r w:rsidR="00A75045">
        <w:t>above)</w:t>
      </w:r>
      <w:r w:rsidR="002151CB" w:rsidRPr="00D14DD7">
        <w:t xml:space="preserve">, the Committee remains concerned that the National Assembly still endorses the nomination of candidate judges proposed by the High Judicial Council, which </w:t>
      </w:r>
      <w:r w:rsidR="002B2595">
        <w:t>represents</w:t>
      </w:r>
      <w:r w:rsidR="002B2595" w:rsidRPr="00D14DD7">
        <w:t xml:space="preserve"> </w:t>
      </w:r>
      <w:r w:rsidR="002151CB" w:rsidRPr="00D14DD7">
        <w:t>a significant parliamentary role in the selection of judges (arts.</w:t>
      </w:r>
      <w:r w:rsidR="008D783D">
        <w:t> </w:t>
      </w:r>
      <w:r w:rsidR="002151CB" w:rsidRPr="00D14DD7">
        <w:t>2 and 12).</w:t>
      </w:r>
    </w:p>
    <w:p w:rsidR="002151CB" w:rsidRDefault="002151CB" w:rsidP="00D52843">
      <w:pPr>
        <w:pStyle w:val="SingleTxtG"/>
        <w:rPr>
          <w:b/>
          <w:bCs/>
        </w:rPr>
      </w:pPr>
      <w:r w:rsidRPr="00D14DD7">
        <w:rPr>
          <w:b/>
          <w:bCs/>
        </w:rPr>
        <w:t xml:space="preserve">The State party should continue to take measures to ensure the full independence and impartiality of the judiciary in performing its functions, and should review the regime for the appointment of judges in </w:t>
      </w:r>
      <w:r w:rsidR="00D52843">
        <w:rPr>
          <w:b/>
          <w:bCs/>
        </w:rPr>
        <w:t>the light of</w:t>
      </w:r>
      <w:r w:rsidRPr="00D14DD7">
        <w:rPr>
          <w:b/>
          <w:bCs/>
        </w:rPr>
        <w:t xml:space="preserve"> the </w:t>
      </w:r>
      <w:r w:rsidR="00F00D6A">
        <w:rPr>
          <w:b/>
          <w:bCs/>
        </w:rPr>
        <w:t>B</w:t>
      </w:r>
      <w:r w:rsidRPr="00D14DD7">
        <w:rPr>
          <w:b/>
          <w:bCs/>
        </w:rPr>
        <w:t xml:space="preserve">asic </w:t>
      </w:r>
      <w:r w:rsidR="00F00D6A">
        <w:rPr>
          <w:b/>
          <w:bCs/>
        </w:rPr>
        <w:t>P</w:t>
      </w:r>
      <w:r w:rsidRPr="00D14DD7">
        <w:rPr>
          <w:b/>
          <w:bCs/>
        </w:rPr>
        <w:t xml:space="preserve">rinciples on the </w:t>
      </w:r>
      <w:r w:rsidR="00F00D6A">
        <w:rPr>
          <w:b/>
          <w:bCs/>
        </w:rPr>
        <w:t>I</w:t>
      </w:r>
      <w:r w:rsidRPr="00D14DD7">
        <w:rPr>
          <w:b/>
          <w:bCs/>
        </w:rPr>
        <w:t xml:space="preserve">ndependence of the </w:t>
      </w:r>
      <w:r w:rsidR="00F00D6A">
        <w:rPr>
          <w:b/>
          <w:bCs/>
        </w:rPr>
        <w:t>J</w:t>
      </w:r>
      <w:r w:rsidRPr="00D14DD7">
        <w:rPr>
          <w:b/>
          <w:bCs/>
        </w:rPr>
        <w:t xml:space="preserve">udiciary </w:t>
      </w:r>
      <w:r w:rsidR="00E069EA" w:rsidRPr="00D14DD7">
        <w:rPr>
          <w:b/>
          <w:bCs/>
        </w:rPr>
        <w:t>and</w:t>
      </w:r>
      <w:r w:rsidR="00E069EA">
        <w:rPr>
          <w:b/>
          <w:bCs/>
        </w:rPr>
        <w:t xml:space="preserve"> values</w:t>
      </w:r>
      <w:r w:rsidR="008D783D">
        <w:rPr>
          <w:b/>
          <w:bCs/>
        </w:rPr>
        <w:t> </w:t>
      </w:r>
      <w:r w:rsidR="00E069EA">
        <w:rPr>
          <w:b/>
          <w:bCs/>
        </w:rPr>
        <w:t xml:space="preserve">1 and 2 of </w:t>
      </w:r>
      <w:r w:rsidRPr="00D14DD7">
        <w:rPr>
          <w:b/>
          <w:bCs/>
        </w:rPr>
        <w:t>the Bangalore Principles of Judicial Conduct.</w:t>
      </w:r>
    </w:p>
    <w:p w:rsidR="00FA5FE5" w:rsidRPr="00FA5FE5" w:rsidRDefault="008D783D" w:rsidP="00D0401A">
      <w:pPr>
        <w:pStyle w:val="H23G"/>
      </w:pPr>
      <w:r>
        <w:lastRenderedPageBreak/>
        <w:tab/>
      </w:r>
      <w:r>
        <w:tab/>
      </w:r>
      <w:r w:rsidR="00FA5FE5" w:rsidRPr="00FA5FE5">
        <w:t>Follow-up procedure</w:t>
      </w:r>
    </w:p>
    <w:p w:rsidR="0041207D" w:rsidRDefault="004F246E" w:rsidP="004F246E">
      <w:pPr>
        <w:pStyle w:val="SingleTxtG"/>
        <w:rPr>
          <w:lang w:eastAsia="en-GB"/>
        </w:rPr>
      </w:pPr>
      <w:r>
        <w:rPr>
          <w:lang w:eastAsia="en-GB"/>
        </w:rPr>
        <w:t>23.</w:t>
      </w:r>
      <w:r>
        <w:rPr>
          <w:lang w:eastAsia="en-GB"/>
        </w:rPr>
        <w:tab/>
      </w:r>
      <w:r w:rsidR="008D20C0" w:rsidRPr="00FA5FE5">
        <w:rPr>
          <w:lang w:eastAsia="en-GB"/>
        </w:rPr>
        <w:t xml:space="preserve">The Committee requests the State party to provide, by 15 May 2016, follow-up information in response to the Committee’s recommendations </w:t>
      </w:r>
      <w:r w:rsidR="00D85F68">
        <w:rPr>
          <w:lang w:eastAsia="en-GB"/>
        </w:rPr>
        <w:t>on</w:t>
      </w:r>
      <w:r w:rsidR="00BF18CC">
        <w:rPr>
          <w:lang w:eastAsia="en-GB"/>
        </w:rPr>
        <w:t xml:space="preserve"> taking </w:t>
      </w:r>
      <w:r w:rsidR="008D20C0" w:rsidRPr="00FA5FE5">
        <w:rPr>
          <w:lang w:eastAsia="en-GB"/>
        </w:rPr>
        <w:t xml:space="preserve">steps </w:t>
      </w:r>
      <w:r w:rsidR="008D20C0" w:rsidRPr="00FE536B">
        <w:rPr>
          <w:lang w:eastAsia="en-GB"/>
        </w:rPr>
        <w:t>to</w:t>
      </w:r>
      <w:r w:rsidR="003E40EF">
        <w:rPr>
          <w:lang w:eastAsia="en-GB"/>
        </w:rPr>
        <w:t xml:space="preserve"> </w:t>
      </w:r>
      <w:r w:rsidR="00C917C9">
        <w:rPr>
          <w:lang w:eastAsia="en-GB"/>
        </w:rPr>
        <w:t xml:space="preserve">ensure </w:t>
      </w:r>
      <w:r w:rsidR="00BF18CC">
        <w:rPr>
          <w:lang w:eastAsia="en-GB"/>
        </w:rPr>
        <w:t xml:space="preserve">in practice </w:t>
      </w:r>
      <w:r w:rsidR="00C917C9">
        <w:rPr>
          <w:lang w:eastAsia="en-GB"/>
        </w:rPr>
        <w:t xml:space="preserve">that </w:t>
      </w:r>
      <w:r w:rsidR="00C917C9" w:rsidRPr="00C917C9">
        <w:rPr>
          <w:lang w:eastAsia="en-GB"/>
        </w:rPr>
        <w:t xml:space="preserve">detained persons undergo </w:t>
      </w:r>
      <w:r w:rsidR="00C917C9">
        <w:rPr>
          <w:lang w:eastAsia="en-GB"/>
        </w:rPr>
        <w:t xml:space="preserve">an </w:t>
      </w:r>
      <w:r w:rsidR="00C917C9" w:rsidRPr="00C917C9">
        <w:rPr>
          <w:lang w:eastAsia="en-GB"/>
        </w:rPr>
        <w:t>independent</w:t>
      </w:r>
      <w:r w:rsidR="008D783D">
        <w:rPr>
          <w:lang w:eastAsia="en-GB"/>
        </w:rPr>
        <w:t xml:space="preserve"> </w:t>
      </w:r>
      <w:r w:rsidR="00C917C9" w:rsidRPr="00C917C9">
        <w:rPr>
          <w:lang w:eastAsia="en-GB"/>
        </w:rPr>
        <w:t>medical examination from the outset of the deprivation of liberty</w:t>
      </w:r>
      <w:r w:rsidR="00143771">
        <w:rPr>
          <w:lang w:eastAsia="en-GB"/>
        </w:rPr>
        <w:t xml:space="preserve"> </w:t>
      </w:r>
      <w:r w:rsidR="00C20430">
        <w:rPr>
          <w:lang w:eastAsia="en-GB"/>
        </w:rPr>
        <w:t xml:space="preserve">(see para. 9 (a) above) </w:t>
      </w:r>
      <w:r w:rsidR="00143771">
        <w:rPr>
          <w:lang w:eastAsia="en-GB"/>
        </w:rPr>
        <w:t xml:space="preserve">and </w:t>
      </w:r>
      <w:r w:rsidR="00BF18CC">
        <w:rPr>
          <w:lang w:eastAsia="en-GB"/>
        </w:rPr>
        <w:t>pub</w:t>
      </w:r>
      <w:r w:rsidR="00F9433C">
        <w:rPr>
          <w:lang w:eastAsia="en-GB"/>
        </w:rPr>
        <w:t>licly condemning and investigating</w:t>
      </w:r>
      <w:r w:rsidR="00143771">
        <w:rPr>
          <w:bCs/>
          <w:lang w:eastAsia="en-GB"/>
        </w:rPr>
        <w:t xml:space="preserve"> </w:t>
      </w:r>
      <w:r w:rsidR="00143771" w:rsidRPr="00143771">
        <w:rPr>
          <w:bCs/>
        </w:rPr>
        <w:t xml:space="preserve">threats </w:t>
      </w:r>
      <w:r w:rsidR="00F9433C">
        <w:rPr>
          <w:bCs/>
        </w:rPr>
        <w:t xml:space="preserve">to </w:t>
      </w:r>
      <w:r w:rsidR="00143771" w:rsidRPr="00143771">
        <w:rPr>
          <w:bCs/>
        </w:rPr>
        <w:t xml:space="preserve">and attacks on human rights defenders, journalists, </w:t>
      </w:r>
      <w:r w:rsidR="00566964" w:rsidRPr="00566964">
        <w:rPr>
          <w:bCs/>
        </w:rPr>
        <w:t>lesbian, gay, bisexual, transgender and intersex</w:t>
      </w:r>
      <w:r w:rsidR="00143771" w:rsidRPr="00143771">
        <w:rPr>
          <w:bCs/>
        </w:rPr>
        <w:t xml:space="preserve"> persons and members of the Roma community</w:t>
      </w:r>
      <w:r w:rsidR="00C20430">
        <w:rPr>
          <w:bCs/>
        </w:rPr>
        <w:t xml:space="preserve"> </w:t>
      </w:r>
      <w:r w:rsidR="00C20430">
        <w:rPr>
          <w:bCs/>
          <w:lang w:eastAsia="en-GB"/>
        </w:rPr>
        <w:t xml:space="preserve">(see </w:t>
      </w:r>
      <w:r w:rsidR="008D20C0" w:rsidRPr="00FE536B">
        <w:rPr>
          <w:bCs/>
          <w:lang w:eastAsia="en-GB"/>
        </w:rPr>
        <w:t>para</w:t>
      </w:r>
      <w:r w:rsidR="00C20430">
        <w:rPr>
          <w:bCs/>
          <w:lang w:eastAsia="en-GB"/>
        </w:rPr>
        <w:t>.</w:t>
      </w:r>
      <w:r w:rsidR="008D783D">
        <w:rPr>
          <w:bCs/>
          <w:lang w:eastAsia="en-GB"/>
        </w:rPr>
        <w:t> </w:t>
      </w:r>
      <w:r w:rsidR="00143771">
        <w:rPr>
          <w:lang w:eastAsia="en-GB"/>
        </w:rPr>
        <w:t>19</w:t>
      </w:r>
      <w:r w:rsidR="008D20C0" w:rsidRPr="00FE536B">
        <w:rPr>
          <w:lang w:eastAsia="en-GB"/>
        </w:rPr>
        <w:t xml:space="preserve"> </w:t>
      </w:r>
      <w:r w:rsidR="00C20430">
        <w:rPr>
          <w:lang w:eastAsia="en-GB"/>
        </w:rPr>
        <w:t>above).</w:t>
      </w:r>
    </w:p>
    <w:p w:rsidR="009F74FE" w:rsidRPr="0041207D" w:rsidRDefault="008D783D" w:rsidP="00D0401A">
      <w:pPr>
        <w:pStyle w:val="H23G"/>
        <w:rPr>
          <w:bCs/>
        </w:rPr>
      </w:pPr>
      <w:r>
        <w:tab/>
      </w:r>
      <w:r>
        <w:tab/>
      </w:r>
      <w:r w:rsidR="009F74FE" w:rsidRPr="0041207D">
        <w:t>Other issues</w:t>
      </w:r>
    </w:p>
    <w:p w:rsidR="009F74FE" w:rsidRPr="00D14DD7" w:rsidRDefault="004F246E" w:rsidP="004F246E">
      <w:pPr>
        <w:pStyle w:val="SingleTxtG"/>
        <w:rPr>
          <w:bCs/>
        </w:rPr>
      </w:pPr>
      <w:r w:rsidRPr="00D14DD7">
        <w:rPr>
          <w:bCs/>
        </w:rPr>
        <w:t>24.</w:t>
      </w:r>
      <w:r w:rsidRPr="00D14DD7">
        <w:rPr>
          <w:bCs/>
        </w:rPr>
        <w:tab/>
      </w:r>
      <w:r w:rsidR="009F74FE" w:rsidRPr="00D14DD7">
        <w:t>The Committee invites the State party to ratify the core United Nations human rights treat</w:t>
      </w:r>
      <w:r w:rsidR="00E069EA">
        <w:t>y</w:t>
      </w:r>
      <w:r w:rsidR="009F74FE" w:rsidRPr="00D14DD7">
        <w:t xml:space="preserve"> to which it is not yet party, namely</w:t>
      </w:r>
      <w:r w:rsidR="00F9433C">
        <w:t>,</w:t>
      </w:r>
      <w:r w:rsidR="009F74FE" w:rsidRPr="00D14DD7">
        <w:t xml:space="preserve"> the </w:t>
      </w:r>
      <w:r w:rsidR="009F74FE" w:rsidRPr="00D14DD7">
        <w:rPr>
          <w:bCs/>
        </w:rPr>
        <w:t xml:space="preserve">International Convention on the Protection of the Rights of All Migrant Workers and Members of </w:t>
      </w:r>
      <w:r w:rsidR="00F9433C">
        <w:rPr>
          <w:bCs/>
        </w:rPr>
        <w:t>T</w:t>
      </w:r>
      <w:r w:rsidR="009F74FE" w:rsidRPr="00D14DD7">
        <w:rPr>
          <w:bCs/>
        </w:rPr>
        <w:t>heir Families.</w:t>
      </w:r>
    </w:p>
    <w:p w:rsidR="009F74FE" w:rsidRPr="00D14DD7" w:rsidRDefault="004F246E" w:rsidP="004F246E">
      <w:pPr>
        <w:pStyle w:val="SingleTxtG"/>
      </w:pPr>
      <w:r w:rsidRPr="00D14DD7">
        <w:t>25.</w:t>
      </w:r>
      <w:r w:rsidRPr="00D14DD7">
        <w:tab/>
      </w:r>
      <w:r w:rsidR="009F74FE" w:rsidRPr="00D14DD7">
        <w:t xml:space="preserve">The State party is requested to disseminate widely the report submitted to the Committee and the </w:t>
      </w:r>
      <w:r w:rsidR="00C057C6">
        <w:t>present</w:t>
      </w:r>
      <w:r w:rsidR="009F74FE" w:rsidRPr="00D14DD7">
        <w:t xml:space="preserve"> concluding observations, in appropriate languages, through official websites, the media and non-governmental organizations.</w:t>
      </w:r>
    </w:p>
    <w:p w:rsidR="009F74FE" w:rsidRPr="00D14DD7" w:rsidRDefault="004F246E" w:rsidP="004F246E">
      <w:pPr>
        <w:pStyle w:val="SingleTxtG"/>
      </w:pPr>
      <w:r w:rsidRPr="00D14DD7">
        <w:t>26.</w:t>
      </w:r>
      <w:r w:rsidRPr="00D14DD7">
        <w:tab/>
      </w:r>
      <w:r w:rsidR="009F74FE" w:rsidRPr="00D14DD7">
        <w:t xml:space="preserve">The State </w:t>
      </w:r>
      <w:bookmarkStart w:id="0" w:name="_GoBack"/>
      <w:r w:rsidR="009F74FE" w:rsidRPr="00D14DD7">
        <w:t xml:space="preserve">party is invited to submit its next report, which will be </w:t>
      </w:r>
      <w:r w:rsidR="00C057C6">
        <w:t>its</w:t>
      </w:r>
      <w:r w:rsidR="009F74FE" w:rsidRPr="00D14DD7">
        <w:t xml:space="preserve"> third pe</w:t>
      </w:r>
      <w:r w:rsidR="009F74FE">
        <w:t xml:space="preserve">riodic report, by 15 May 2019. </w:t>
      </w:r>
      <w:bookmarkEnd w:id="0"/>
      <w:r w:rsidR="00C057C6">
        <w:t>For</w:t>
      </w:r>
      <w:r w:rsidR="009F74FE" w:rsidRPr="00D14DD7">
        <w:t xml:space="preserve"> that purpose, the Committee will, in due course, </w:t>
      </w:r>
      <w:r w:rsidR="00C057C6">
        <w:t>transmit</w:t>
      </w:r>
      <w:r w:rsidR="009F74FE" w:rsidRPr="00D14DD7">
        <w:t xml:space="preserve"> to the State party a list of issues prior to reporting, considering that the State party has </w:t>
      </w:r>
      <w:r w:rsidR="009F74FE" w:rsidRPr="00131894">
        <w:t>accepted</w:t>
      </w:r>
      <w:r w:rsidR="009F74FE" w:rsidRPr="00D14DD7">
        <w:t xml:space="preserve"> to report to the Committee under the optional reporting procedure.</w:t>
      </w:r>
    </w:p>
    <w:p w:rsidR="002151CB" w:rsidRPr="002151CB" w:rsidRDefault="002151CB" w:rsidP="002151CB">
      <w:pPr>
        <w:spacing w:before="240"/>
        <w:ind w:left="1134" w:right="1134"/>
        <w:jc w:val="center"/>
        <w:rPr>
          <w:u w:val="single"/>
        </w:rPr>
      </w:pPr>
      <w:r>
        <w:rPr>
          <w:u w:val="single"/>
        </w:rPr>
        <w:tab/>
      </w:r>
      <w:r>
        <w:rPr>
          <w:u w:val="single"/>
        </w:rPr>
        <w:tab/>
      </w:r>
      <w:r>
        <w:rPr>
          <w:u w:val="single"/>
        </w:rPr>
        <w:tab/>
      </w:r>
    </w:p>
    <w:sectPr w:rsidR="002151CB" w:rsidRPr="002151CB" w:rsidSect="008D783D">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2BC" w:rsidRDefault="001D72BC"/>
  </w:endnote>
  <w:endnote w:type="continuationSeparator" w:id="0">
    <w:p w:rsidR="001D72BC" w:rsidRDefault="001D72BC"/>
  </w:endnote>
  <w:endnote w:type="continuationNotice" w:id="1">
    <w:p w:rsidR="001D72BC" w:rsidRDefault="001D7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52" w:rsidRPr="002151CB" w:rsidRDefault="00012152" w:rsidP="002151CB">
    <w:pPr>
      <w:pStyle w:val="Footer"/>
      <w:tabs>
        <w:tab w:val="right" w:pos="9638"/>
      </w:tabs>
    </w:pPr>
    <w:r w:rsidRPr="002151CB">
      <w:rPr>
        <w:b/>
        <w:sz w:val="18"/>
      </w:rPr>
      <w:fldChar w:fldCharType="begin"/>
    </w:r>
    <w:r w:rsidRPr="002151CB">
      <w:rPr>
        <w:b/>
        <w:sz w:val="18"/>
      </w:rPr>
      <w:instrText xml:space="preserve"> PAGE  \* MERGEFORMAT </w:instrText>
    </w:r>
    <w:r w:rsidRPr="002151CB">
      <w:rPr>
        <w:b/>
        <w:sz w:val="18"/>
      </w:rPr>
      <w:fldChar w:fldCharType="separate"/>
    </w:r>
    <w:r w:rsidR="00A85AB1">
      <w:rPr>
        <w:b/>
        <w:noProof/>
        <w:sz w:val="18"/>
      </w:rPr>
      <w:t>2</w:t>
    </w:r>
    <w:r w:rsidRPr="002151C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52" w:rsidRPr="002151CB" w:rsidRDefault="00012152" w:rsidP="002151CB">
    <w:pPr>
      <w:pStyle w:val="Footer"/>
      <w:tabs>
        <w:tab w:val="right" w:pos="9638"/>
      </w:tabs>
      <w:rPr>
        <w:b/>
        <w:sz w:val="18"/>
      </w:rPr>
    </w:pPr>
    <w:r>
      <w:tab/>
    </w:r>
    <w:r w:rsidRPr="002151CB">
      <w:rPr>
        <w:b/>
        <w:sz w:val="18"/>
      </w:rPr>
      <w:fldChar w:fldCharType="begin"/>
    </w:r>
    <w:r w:rsidRPr="002151CB">
      <w:rPr>
        <w:b/>
        <w:sz w:val="18"/>
      </w:rPr>
      <w:instrText xml:space="preserve"> PAGE  \* MERGEFORMAT </w:instrText>
    </w:r>
    <w:r w:rsidRPr="002151CB">
      <w:rPr>
        <w:b/>
        <w:sz w:val="18"/>
      </w:rPr>
      <w:fldChar w:fldCharType="separate"/>
    </w:r>
    <w:r w:rsidR="00A85AB1">
      <w:rPr>
        <w:b/>
        <w:noProof/>
        <w:sz w:val="18"/>
      </w:rPr>
      <w:t>3</w:t>
    </w:r>
    <w:r w:rsidRPr="002151C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4E" w:rsidRDefault="0037334E" w:rsidP="0037334E">
    <w:pPr>
      <w:pStyle w:val="Footer"/>
    </w:pPr>
    <w:r w:rsidRPr="00DA43F5">
      <w:rPr>
        <w:rFonts w:ascii="C39T30Lfz" w:hAnsi="C39T30Lfz"/>
        <w:noProof/>
        <w:sz w:val="56"/>
        <w:u w:val="single"/>
        <w:lang w:val="en-US"/>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37334E" w:rsidRDefault="0037334E" w:rsidP="0037334E">
    <w:pPr>
      <w:pStyle w:val="Footer"/>
      <w:ind w:right="1134"/>
      <w:rPr>
        <w:sz w:val="20"/>
      </w:rPr>
    </w:pPr>
    <w:r>
      <w:rPr>
        <w:sz w:val="20"/>
      </w:rPr>
      <w:t>GE.15-08835(E)</w:t>
    </w:r>
  </w:p>
  <w:p w:rsidR="0037334E" w:rsidRPr="0037334E" w:rsidRDefault="0037334E" w:rsidP="0037334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38175" cy="638175"/>
          <wp:effectExtent l="0" t="0" r="9525" b="9525"/>
          <wp:wrapNone/>
          <wp:docPr id="3" name="Picture 1" descr="http://undocs.org/m2/QRCode.ashx?DS=CAT/C/SRB/CO/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CAT/C/SRB/CO/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2BC" w:rsidRPr="000B175B" w:rsidRDefault="001D72BC" w:rsidP="000B175B">
      <w:pPr>
        <w:tabs>
          <w:tab w:val="right" w:pos="2155"/>
        </w:tabs>
        <w:spacing w:after="80"/>
        <w:ind w:left="680"/>
        <w:rPr>
          <w:u w:val="single"/>
        </w:rPr>
      </w:pPr>
      <w:r>
        <w:rPr>
          <w:u w:val="single"/>
        </w:rPr>
        <w:tab/>
      </w:r>
    </w:p>
  </w:footnote>
  <w:footnote w:type="continuationSeparator" w:id="0">
    <w:p w:rsidR="001D72BC" w:rsidRPr="00FC68B7" w:rsidRDefault="001D72BC" w:rsidP="00FC68B7">
      <w:pPr>
        <w:tabs>
          <w:tab w:val="left" w:pos="2155"/>
        </w:tabs>
        <w:spacing w:after="80"/>
        <w:ind w:left="680"/>
        <w:rPr>
          <w:u w:val="single"/>
        </w:rPr>
      </w:pPr>
      <w:r>
        <w:rPr>
          <w:u w:val="single"/>
        </w:rPr>
        <w:tab/>
      </w:r>
    </w:p>
  </w:footnote>
  <w:footnote w:type="continuationNotice" w:id="1">
    <w:p w:rsidR="001D72BC" w:rsidRDefault="001D72BC"/>
  </w:footnote>
  <w:footnote w:id="2">
    <w:p w:rsidR="005B7CE0" w:rsidRPr="004B4D1E" w:rsidRDefault="005B7CE0">
      <w:pPr>
        <w:pStyle w:val="FootnoteText"/>
        <w:rPr>
          <w:lang w:val="en-US"/>
        </w:rPr>
      </w:pPr>
      <w:r>
        <w:rPr>
          <w:rStyle w:val="FootnoteReference"/>
        </w:rPr>
        <w:tab/>
      </w:r>
      <w:r w:rsidRPr="004B4D1E">
        <w:rPr>
          <w:rStyle w:val="FootnoteReference"/>
          <w:sz w:val="20"/>
          <w:vertAlign w:val="baseline"/>
        </w:rPr>
        <w:t>*</w:t>
      </w:r>
      <w:r>
        <w:rPr>
          <w:rStyle w:val="FootnoteReference"/>
          <w:sz w:val="20"/>
          <w:vertAlign w:val="baseline"/>
        </w:rPr>
        <w:tab/>
      </w:r>
      <w:proofErr w:type="gramStart"/>
      <w:r w:rsidR="00713E69" w:rsidRPr="004B4D1E">
        <w:rPr>
          <w:szCs w:val="18"/>
        </w:rPr>
        <w:t>Reissued for technical reasons on 30 November 2016.</w:t>
      </w:r>
      <w:proofErr w:type="gramEnd"/>
    </w:p>
  </w:footnote>
  <w:footnote w:id="3">
    <w:p w:rsidR="00012152" w:rsidRPr="002D57D5" w:rsidRDefault="00012152">
      <w:pPr>
        <w:pStyle w:val="FootnoteText"/>
      </w:pPr>
      <w:r>
        <w:rPr>
          <w:rStyle w:val="FootnoteReference"/>
        </w:rPr>
        <w:tab/>
      </w:r>
      <w:r w:rsidRPr="00051AD9">
        <w:rPr>
          <w:rStyle w:val="FootnoteReference"/>
          <w:sz w:val="20"/>
          <w:vertAlign w:val="baseline"/>
        </w:rPr>
        <w:t>*</w:t>
      </w:r>
      <w:r w:rsidR="005B7CE0">
        <w:rPr>
          <w:sz w:val="20"/>
        </w:rPr>
        <w:t>*</w:t>
      </w:r>
      <w:r>
        <w:rPr>
          <w:rStyle w:val="FootnoteReference"/>
          <w:sz w:val="20"/>
          <w:vertAlign w:val="baseline"/>
        </w:rPr>
        <w:tab/>
      </w:r>
      <w:r>
        <w:t>Adopted by the Committee at its</w:t>
      </w:r>
      <w:r>
        <w:rPr>
          <w:color w:val="000000"/>
        </w:rPr>
        <w:t xml:space="preserve"> fifty-fourth session (20 April–15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52" w:rsidRPr="002151CB" w:rsidRDefault="00012152">
    <w:pPr>
      <w:pStyle w:val="Header"/>
    </w:pPr>
    <w:r>
      <w:t>CAT/C/SRB/CO/2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152" w:rsidRPr="002151CB" w:rsidRDefault="00012152" w:rsidP="002151CB">
    <w:pPr>
      <w:pStyle w:val="Header"/>
      <w:jc w:val="right"/>
    </w:pPr>
    <w:r>
      <w:t>CAT/C/SRB/CO/2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8C45CEB"/>
    <w:multiLevelType w:val="hybridMultilevel"/>
    <w:tmpl w:val="7D5C9BE2"/>
    <w:lvl w:ilvl="0" w:tplc="983E012E">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5712064E"/>
    <w:multiLevelType w:val="hybridMultilevel"/>
    <w:tmpl w:val="1A0A713C"/>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5D141E6F"/>
    <w:multiLevelType w:val="hybridMultilevel"/>
    <w:tmpl w:val="D5387014"/>
    <w:lvl w:ilvl="0" w:tplc="1C68271C">
      <w:start w:val="1"/>
      <w:numFmt w:val="lowerLetter"/>
      <w:lvlText w:val="(%1)"/>
      <w:lvlJc w:val="left"/>
      <w:pPr>
        <w:ind w:left="1134" w:hanging="570"/>
      </w:pPr>
      <w:rPr>
        <w:rFonts w:ascii="Times New Roman" w:eastAsia="Times New Roman" w:hAnsi="Times New Roman" w:cs="Times New Roman"/>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DF771C3"/>
    <w:multiLevelType w:val="hybridMultilevel"/>
    <w:tmpl w:val="653E7414"/>
    <w:lvl w:ilvl="0" w:tplc="20ACD712">
      <w:start w:val="1"/>
      <w:numFmt w:val="decimal"/>
      <w:lvlText w:val="%1."/>
      <w:lvlJc w:val="left"/>
      <w:pPr>
        <w:ind w:left="2115"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 w:numId="2">
    <w:abstractNumId w:val="4"/>
  </w:num>
  <w:num w:numId="3">
    <w:abstractNumId w:val="1"/>
  </w:num>
  <w:num w:numId="4">
    <w:abstractNumId w:val="3"/>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CB"/>
    <w:rsid w:val="0000248A"/>
    <w:rsid w:val="00010297"/>
    <w:rsid w:val="00010872"/>
    <w:rsid w:val="00012152"/>
    <w:rsid w:val="00014AEA"/>
    <w:rsid w:val="00034AF6"/>
    <w:rsid w:val="00036DA4"/>
    <w:rsid w:val="00037600"/>
    <w:rsid w:val="0004040F"/>
    <w:rsid w:val="00042FBB"/>
    <w:rsid w:val="00050F6B"/>
    <w:rsid w:val="00051AD9"/>
    <w:rsid w:val="00051E6E"/>
    <w:rsid w:val="000524AA"/>
    <w:rsid w:val="00054D10"/>
    <w:rsid w:val="00057E97"/>
    <w:rsid w:val="00072C8C"/>
    <w:rsid w:val="000733B5"/>
    <w:rsid w:val="00081815"/>
    <w:rsid w:val="000844A5"/>
    <w:rsid w:val="000931C0"/>
    <w:rsid w:val="00094570"/>
    <w:rsid w:val="000948CB"/>
    <w:rsid w:val="00094B47"/>
    <w:rsid w:val="000A4E6C"/>
    <w:rsid w:val="000A7069"/>
    <w:rsid w:val="000A740E"/>
    <w:rsid w:val="000B175B"/>
    <w:rsid w:val="000B3A0F"/>
    <w:rsid w:val="000B3C7A"/>
    <w:rsid w:val="000B4EF7"/>
    <w:rsid w:val="000B50C1"/>
    <w:rsid w:val="000C24F9"/>
    <w:rsid w:val="000C2C03"/>
    <w:rsid w:val="000C2D2E"/>
    <w:rsid w:val="000E0415"/>
    <w:rsid w:val="000F2579"/>
    <w:rsid w:val="000F5770"/>
    <w:rsid w:val="000F5E57"/>
    <w:rsid w:val="0010794E"/>
    <w:rsid w:val="001103AA"/>
    <w:rsid w:val="00113B43"/>
    <w:rsid w:val="00127D25"/>
    <w:rsid w:val="00131894"/>
    <w:rsid w:val="0013344D"/>
    <w:rsid w:val="00134C44"/>
    <w:rsid w:val="0014040C"/>
    <w:rsid w:val="00143771"/>
    <w:rsid w:val="001450BD"/>
    <w:rsid w:val="00146D7A"/>
    <w:rsid w:val="00153179"/>
    <w:rsid w:val="00154FE1"/>
    <w:rsid w:val="001558DC"/>
    <w:rsid w:val="0015699A"/>
    <w:rsid w:val="00156BAD"/>
    <w:rsid w:val="0016539B"/>
    <w:rsid w:val="00165515"/>
    <w:rsid w:val="00165F3A"/>
    <w:rsid w:val="0017170B"/>
    <w:rsid w:val="0017388E"/>
    <w:rsid w:val="00183227"/>
    <w:rsid w:val="001943C8"/>
    <w:rsid w:val="00197B02"/>
    <w:rsid w:val="001B1FE3"/>
    <w:rsid w:val="001B4B04"/>
    <w:rsid w:val="001B6148"/>
    <w:rsid w:val="001B7D04"/>
    <w:rsid w:val="001C6663"/>
    <w:rsid w:val="001C7895"/>
    <w:rsid w:val="001C7DBE"/>
    <w:rsid w:val="001D0C8C"/>
    <w:rsid w:val="001D26DF"/>
    <w:rsid w:val="001D3A03"/>
    <w:rsid w:val="001D410E"/>
    <w:rsid w:val="001D72BC"/>
    <w:rsid w:val="001E39F1"/>
    <w:rsid w:val="001E6C2A"/>
    <w:rsid w:val="001F0062"/>
    <w:rsid w:val="00202DA8"/>
    <w:rsid w:val="00203E0F"/>
    <w:rsid w:val="00211E0B"/>
    <w:rsid w:val="00214B54"/>
    <w:rsid w:val="002151CB"/>
    <w:rsid w:val="00232278"/>
    <w:rsid w:val="00236EFA"/>
    <w:rsid w:val="00241671"/>
    <w:rsid w:val="00243C47"/>
    <w:rsid w:val="00250A30"/>
    <w:rsid w:val="00250A82"/>
    <w:rsid w:val="0025722B"/>
    <w:rsid w:val="00264062"/>
    <w:rsid w:val="00267CF0"/>
    <w:rsid w:val="00267F5F"/>
    <w:rsid w:val="00272FB0"/>
    <w:rsid w:val="00274BB3"/>
    <w:rsid w:val="00282F5C"/>
    <w:rsid w:val="002834B6"/>
    <w:rsid w:val="00286B4D"/>
    <w:rsid w:val="00286BB2"/>
    <w:rsid w:val="00287AEF"/>
    <w:rsid w:val="00292048"/>
    <w:rsid w:val="002955D6"/>
    <w:rsid w:val="00297799"/>
    <w:rsid w:val="002A608F"/>
    <w:rsid w:val="002A7C62"/>
    <w:rsid w:val="002B2595"/>
    <w:rsid w:val="002B3C39"/>
    <w:rsid w:val="002B466B"/>
    <w:rsid w:val="002C05C4"/>
    <w:rsid w:val="002C7887"/>
    <w:rsid w:val="002D0799"/>
    <w:rsid w:val="002D57D5"/>
    <w:rsid w:val="002F175C"/>
    <w:rsid w:val="002F1A00"/>
    <w:rsid w:val="002F4A6E"/>
    <w:rsid w:val="002F671F"/>
    <w:rsid w:val="00302DCB"/>
    <w:rsid w:val="0030310D"/>
    <w:rsid w:val="003031FE"/>
    <w:rsid w:val="00311FFC"/>
    <w:rsid w:val="003168FE"/>
    <w:rsid w:val="003176CB"/>
    <w:rsid w:val="003229D8"/>
    <w:rsid w:val="003248A1"/>
    <w:rsid w:val="003430E8"/>
    <w:rsid w:val="00351E2F"/>
    <w:rsid w:val="00352709"/>
    <w:rsid w:val="003544A9"/>
    <w:rsid w:val="00354863"/>
    <w:rsid w:val="0035765D"/>
    <w:rsid w:val="0036246F"/>
    <w:rsid w:val="00370575"/>
    <w:rsid w:val="00371178"/>
    <w:rsid w:val="0037334E"/>
    <w:rsid w:val="003852EA"/>
    <w:rsid w:val="003874D3"/>
    <w:rsid w:val="00387A77"/>
    <w:rsid w:val="00391E04"/>
    <w:rsid w:val="003A6810"/>
    <w:rsid w:val="003B79C5"/>
    <w:rsid w:val="003C2CC4"/>
    <w:rsid w:val="003C52F5"/>
    <w:rsid w:val="003D1988"/>
    <w:rsid w:val="003D4B23"/>
    <w:rsid w:val="003D6258"/>
    <w:rsid w:val="003E40EF"/>
    <w:rsid w:val="003E7B98"/>
    <w:rsid w:val="003F0F62"/>
    <w:rsid w:val="003F172F"/>
    <w:rsid w:val="004020DA"/>
    <w:rsid w:val="00410C89"/>
    <w:rsid w:val="0041207D"/>
    <w:rsid w:val="00416EAF"/>
    <w:rsid w:val="00425A47"/>
    <w:rsid w:val="00426B9B"/>
    <w:rsid w:val="00432039"/>
    <w:rsid w:val="004325CB"/>
    <w:rsid w:val="00442A83"/>
    <w:rsid w:val="004437F2"/>
    <w:rsid w:val="0045495B"/>
    <w:rsid w:val="00474891"/>
    <w:rsid w:val="00475072"/>
    <w:rsid w:val="00490051"/>
    <w:rsid w:val="0049327B"/>
    <w:rsid w:val="004A461E"/>
    <w:rsid w:val="004A5B33"/>
    <w:rsid w:val="004A7783"/>
    <w:rsid w:val="004B3BC6"/>
    <w:rsid w:val="004B4C23"/>
    <w:rsid w:val="004B4D1E"/>
    <w:rsid w:val="004B74D4"/>
    <w:rsid w:val="004B7802"/>
    <w:rsid w:val="004C3025"/>
    <w:rsid w:val="004D0074"/>
    <w:rsid w:val="004D0D0F"/>
    <w:rsid w:val="004E5A4B"/>
    <w:rsid w:val="004E7863"/>
    <w:rsid w:val="004F03EE"/>
    <w:rsid w:val="004F0999"/>
    <w:rsid w:val="004F246E"/>
    <w:rsid w:val="004F3634"/>
    <w:rsid w:val="005045AB"/>
    <w:rsid w:val="00505828"/>
    <w:rsid w:val="005107F3"/>
    <w:rsid w:val="00511FAB"/>
    <w:rsid w:val="00511FB6"/>
    <w:rsid w:val="00515302"/>
    <w:rsid w:val="0052136D"/>
    <w:rsid w:val="0052775E"/>
    <w:rsid w:val="00530AC8"/>
    <w:rsid w:val="00533A83"/>
    <w:rsid w:val="005401DE"/>
    <w:rsid w:val="0054189E"/>
    <w:rsid w:val="005420F2"/>
    <w:rsid w:val="00546A3C"/>
    <w:rsid w:val="00553438"/>
    <w:rsid w:val="00555902"/>
    <w:rsid w:val="00555FC9"/>
    <w:rsid w:val="005628B6"/>
    <w:rsid w:val="00564770"/>
    <w:rsid w:val="00564DAB"/>
    <w:rsid w:val="00566964"/>
    <w:rsid w:val="005A2D04"/>
    <w:rsid w:val="005A558A"/>
    <w:rsid w:val="005A6E84"/>
    <w:rsid w:val="005B3DB3"/>
    <w:rsid w:val="005B5DD2"/>
    <w:rsid w:val="005B7CE0"/>
    <w:rsid w:val="005D0FDF"/>
    <w:rsid w:val="005D2F46"/>
    <w:rsid w:val="005D6138"/>
    <w:rsid w:val="005E23A7"/>
    <w:rsid w:val="005E265A"/>
    <w:rsid w:val="005F6391"/>
    <w:rsid w:val="005F7B75"/>
    <w:rsid w:val="006001EE"/>
    <w:rsid w:val="006011F2"/>
    <w:rsid w:val="00604872"/>
    <w:rsid w:val="00605042"/>
    <w:rsid w:val="00611FC4"/>
    <w:rsid w:val="00613717"/>
    <w:rsid w:val="0061408E"/>
    <w:rsid w:val="006176FB"/>
    <w:rsid w:val="00620844"/>
    <w:rsid w:val="0062424C"/>
    <w:rsid w:val="00624996"/>
    <w:rsid w:val="006257E2"/>
    <w:rsid w:val="0063107D"/>
    <w:rsid w:val="00631ADB"/>
    <w:rsid w:val="00640B26"/>
    <w:rsid w:val="0064276C"/>
    <w:rsid w:val="00645F6C"/>
    <w:rsid w:val="00646AE7"/>
    <w:rsid w:val="00652D0A"/>
    <w:rsid w:val="00661D1C"/>
    <w:rsid w:val="00662BB6"/>
    <w:rsid w:val="006679F7"/>
    <w:rsid w:val="00674D83"/>
    <w:rsid w:val="00675F0B"/>
    <w:rsid w:val="00676C8F"/>
    <w:rsid w:val="00684C21"/>
    <w:rsid w:val="00684D72"/>
    <w:rsid w:val="00686285"/>
    <w:rsid w:val="00691D5E"/>
    <w:rsid w:val="0069347A"/>
    <w:rsid w:val="006967C8"/>
    <w:rsid w:val="006B16E5"/>
    <w:rsid w:val="006B2B77"/>
    <w:rsid w:val="006B2D0C"/>
    <w:rsid w:val="006B356E"/>
    <w:rsid w:val="006C14CB"/>
    <w:rsid w:val="006C19AB"/>
    <w:rsid w:val="006C3018"/>
    <w:rsid w:val="006D37AF"/>
    <w:rsid w:val="006D51D0"/>
    <w:rsid w:val="006D6908"/>
    <w:rsid w:val="006E0FD7"/>
    <w:rsid w:val="006E5009"/>
    <w:rsid w:val="006E564B"/>
    <w:rsid w:val="006E7191"/>
    <w:rsid w:val="006F3959"/>
    <w:rsid w:val="006F5689"/>
    <w:rsid w:val="0070343B"/>
    <w:rsid w:val="00703577"/>
    <w:rsid w:val="00706D43"/>
    <w:rsid w:val="00711872"/>
    <w:rsid w:val="00712EC2"/>
    <w:rsid w:val="00713B85"/>
    <w:rsid w:val="00713E69"/>
    <w:rsid w:val="007142CA"/>
    <w:rsid w:val="007248E3"/>
    <w:rsid w:val="0072632A"/>
    <w:rsid w:val="007327D5"/>
    <w:rsid w:val="00752EB3"/>
    <w:rsid w:val="007629C8"/>
    <w:rsid w:val="0076408B"/>
    <w:rsid w:val="007722DA"/>
    <w:rsid w:val="007A425D"/>
    <w:rsid w:val="007B2610"/>
    <w:rsid w:val="007B4623"/>
    <w:rsid w:val="007B6BA5"/>
    <w:rsid w:val="007C018B"/>
    <w:rsid w:val="007C3390"/>
    <w:rsid w:val="007C36FB"/>
    <w:rsid w:val="007C4F4B"/>
    <w:rsid w:val="007D387C"/>
    <w:rsid w:val="007E3307"/>
    <w:rsid w:val="007E3395"/>
    <w:rsid w:val="007E3782"/>
    <w:rsid w:val="007F6611"/>
    <w:rsid w:val="00800AF0"/>
    <w:rsid w:val="008016CB"/>
    <w:rsid w:val="00812A3B"/>
    <w:rsid w:val="0082044E"/>
    <w:rsid w:val="008242D7"/>
    <w:rsid w:val="008257B1"/>
    <w:rsid w:val="00843086"/>
    <w:rsid w:val="00843767"/>
    <w:rsid w:val="00846005"/>
    <w:rsid w:val="008679D9"/>
    <w:rsid w:val="00870D06"/>
    <w:rsid w:val="008768F8"/>
    <w:rsid w:val="008805A7"/>
    <w:rsid w:val="008979B1"/>
    <w:rsid w:val="008A1726"/>
    <w:rsid w:val="008A61E3"/>
    <w:rsid w:val="008A6B25"/>
    <w:rsid w:val="008A6C4F"/>
    <w:rsid w:val="008B06A7"/>
    <w:rsid w:val="008B2335"/>
    <w:rsid w:val="008B4AAC"/>
    <w:rsid w:val="008C4A86"/>
    <w:rsid w:val="008C50AA"/>
    <w:rsid w:val="008D20C0"/>
    <w:rsid w:val="008D5447"/>
    <w:rsid w:val="008D783D"/>
    <w:rsid w:val="008E0678"/>
    <w:rsid w:val="008E1BF6"/>
    <w:rsid w:val="008E4285"/>
    <w:rsid w:val="008F25D6"/>
    <w:rsid w:val="008F4410"/>
    <w:rsid w:val="008F7D02"/>
    <w:rsid w:val="009005E7"/>
    <w:rsid w:val="0090135F"/>
    <w:rsid w:val="009223CA"/>
    <w:rsid w:val="00925367"/>
    <w:rsid w:val="00936153"/>
    <w:rsid w:val="00940F93"/>
    <w:rsid w:val="00944D8E"/>
    <w:rsid w:val="00945D3C"/>
    <w:rsid w:val="00946599"/>
    <w:rsid w:val="00946AF4"/>
    <w:rsid w:val="00946BF4"/>
    <w:rsid w:val="00961609"/>
    <w:rsid w:val="0096586C"/>
    <w:rsid w:val="009760F3"/>
    <w:rsid w:val="009877F1"/>
    <w:rsid w:val="00997414"/>
    <w:rsid w:val="009A0E8D"/>
    <w:rsid w:val="009A39BD"/>
    <w:rsid w:val="009A46F0"/>
    <w:rsid w:val="009A55A1"/>
    <w:rsid w:val="009B26E7"/>
    <w:rsid w:val="009D45A6"/>
    <w:rsid w:val="009E225A"/>
    <w:rsid w:val="009E444F"/>
    <w:rsid w:val="009F28F0"/>
    <w:rsid w:val="009F4184"/>
    <w:rsid w:val="009F74FE"/>
    <w:rsid w:val="00A00A3F"/>
    <w:rsid w:val="00A01489"/>
    <w:rsid w:val="00A01EFE"/>
    <w:rsid w:val="00A069A6"/>
    <w:rsid w:val="00A17A22"/>
    <w:rsid w:val="00A338F1"/>
    <w:rsid w:val="00A33C79"/>
    <w:rsid w:val="00A43FCD"/>
    <w:rsid w:val="00A5214F"/>
    <w:rsid w:val="00A53E2E"/>
    <w:rsid w:val="00A54DBC"/>
    <w:rsid w:val="00A55DB2"/>
    <w:rsid w:val="00A604B1"/>
    <w:rsid w:val="00A618E1"/>
    <w:rsid w:val="00A63481"/>
    <w:rsid w:val="00A66725"/>
    <w:rsid w:val="00A72F22"/>
    <w:rsid w:val="00A7360F"/>
    <w:rsid w:val="00A748A6"/>
    <w:rsid w:val="00A75045"/>
    <w:rsid w:val="00A769F4"/>
    <w:rsid w:val="00A776B4"/>
    <w:rsid w:val="00A80EDB"/>
    <w:rsid w:val="00A85AB1"/>
    <w:rsid w:val="00A94361"/>
    <w:rsid w:val="00A94975"/>
    <w:rsid w:val="00A96268"/>
    <w:rsid w:val="00AA293C"/>
    <w:rsid w:val="00AB25D3"/>
    <w:rsid w:val="00AC135A"/>
    <w:rsid w:val="00AD2BF8"/>
    <w:rsid w:val="00AD3BD3"/>
    <w:rsid w:val="00AD52C2"/>
    <w:rsid w:val="00AE35A7"/>
    <w:rsid w:val="00AE6FE4"/>
    <w:rsid w:val="00AF0AC2"/>
    <w:rsid w:val="00B03739"/>
    <w:rsid w:val="00B072A2"/>
    <w:rsid w:val="00B15417"/>
    <w:rsid w:val="00B22282"/>
    <w:rsid w:val="00B30179"/>
    <w:rsid w:val="00B33B68"/>
    <w:rsid w:val="00B502F4"/>
    <w:rsid w:val="00B54F31"/>
    <w:rsid w:val="00B56E4A"/>
    <w:rsid w:val="00B56E9C"/>
    <w:rsid w:val="00B57791"/>
    <w:rsid w:val="00B64B1F"/>
    <w:rsid w:val="00B6553F"/>
    <w:rsid w:val="00B73C50"/>
    <w:rsid w:val="00B7417A"/>
    <w:rsid w:val="00B77D05"/>
    <w:rsid w:val="00B81206"/>
    <w:rsid w:val="00B81E12"/>
    <w:rsid w:val="00B84422"/>
    <w:rsid w:val="00B92937"/>
    <w:rsid w:val="00B97EE2"/>
    <w:rsid w:val="00BA4E41"/>
    <w:rsid w:val="00BC74E9"/>
    <w:rsid w:val="00BF18CC"/>
    <w:rsid w:val="00BF3D24"/>
    <w:rsid w:val="00BF68A8"/>
    <w:rsid w:val="00C0154A"/>
    <w:rsid w:val="00C057C6"/>
    <w:rsid w:val="00C1119B"/>
    <w:rsid w:val="00C11858"/>
    <w:rsid w:val="00C11A03"/>
    <w:rsid w:val="00C20430"/>
    <w:rsid w:val="00C27F90"/>
    <w:rsid w:val="00C316EC"/>
    <w:rsid w:val="00C327B1"/>
    <w:rsid w:val="00C42634"/>
    <w:rsid w:val="00C463DD"/>
    <w:rsid w:val="00C4724C"/>
    <w:rsid w:val="00C522D1"/>
    <w:rsid w:val="00C629A0"/>
    <w:rsid w:val="00C745C3"/>
    <w:rsid w:val="00C917C9"/>
    <w:rsid w:val="00C93812"/>
    <w:rsid w:val="00CA17A5"/>
    <w:rsid w:val="00CC6014"/>
    <w:rsid w:val="00CE105A"/>
    <w:rsid w:val="00CE4A8F"/>
    <w:rsid w:val="00CE5604"/>
    <w:rsid w:val="00CF56BD"/>
    <w:rsid w:val="00D0387C"/>
    <w:rsid w:val="00D0401A"/>
    <w:rsid w:val="00D05D7E"/>
    <w:rsid w:val="00D10E8C"/>
    <w:rsid w:val="00D12A39"/>
    <w:rsid w:val="00D2031B"/>
    <w:rsid w:val="00D20984"/>
    <w:rsid w:val="00D21697"/>
    <w:rsid w:val="00D25FE2"/>
    <w:rsid w:val="00D43135"/>
    <w:rsid w:val="00D43252"/>
    <w:rsid w:val="00D47706"/>
    <w:rsid w:val="00D47EEA"/>
    <w:rsid w:val="00D52843"/>
    <w:rsid w:val="00D53675"/>
    <w:rsid w:val="00D53D9E"/>
    <w:rsid w:val="00D76633"/>
    <w:rsid w:val="00D82893"/>
    <w:rsid w:val="00D84E3A"/>
    <w:rsid w:val="00D85F68"/>
    <w:rsid w:val="00D87A95"/>
    <w:rsid w:val="00D87E42"/>
    <w:rsid w:val="00D9024A"/>
    <w:rsid w:val="00D92A03"/>
    <w:rsid w:val="00D93406"/>
    <w:rsid w:val="00D93CC8"/>
    <w:rsid w:val="00D95303"/>
    <w:rsid w:val="00D978C6"/>
    <w:rsid w:val="00DA3C1C"/>
    <w:rsid w:val="00DB2C31"/>
    <w:rsid w:val="00DB3716"/>
    <w:rsid w:val="00DB6C84"/>
    <w:rsid w:val="00DC1764"/>
    <w:rsid w:val="00DE2832"/>
    <w:rsid w:val="00DE3E08"/>
    <w:rsid w:val="00DF16C8"/>
    <w:rsid w:val="00DF41CB"/>
    <w:rsid w:val="00DF4915"/>
    <w:rsid w:val="00E05E22"/>
    <w:rsid w:val="00E068E3"/>
    <w:rsid w:val="00E069EA"/>
    <w:rsid w:val="00E074E5"/>
    <w:rsid w:val="00E23003"/>
    <w:rsid w:val="00E23C33"/>
    <w:rsid w:val="00E270C1"/>
    <w:rsid w:val="00E27346"/>
    <w:rsid w:val="00E30CAF"/>
    <w:rsid w:val="00E3281E"/>
    <w:rsid w:val="00E32EFC"/>
    <w:rsid w:val="00E4090C"/>
    <w:rsid w:val="00E51E69"/>
    <w:rsid w:val="00E53B84"/>
    <w:rsid w:val="00E5544A"/>
    <w:rsid w:val="00E62D44"/>
    <w:rsid w:val="00E6756A"/>
    <w:rsid w:val="00E71BC8"/>
    <w:rsid w:val="00E7260F"/>
    <w:rsid w:val="00E735D7"/>
    <w:rsid w:val="00E82CB5"/>
    <w:rsid w:val="00E84E6C"/>
    <w:rsid w:val="00E86867"/>
    <w:rsid w:val="00E90C97"/>
    <w:rsid w:val="00E96630"/>
    <w:rsid w:val="00EA1700"/>
    <w:rsid w:val="00EC7BAE"/>
    <w:rsid w:val="00ED7A2A"/>
    <w:rsid w:val="00EF17A5"/>
    <w:rsid w:val="00EF1D7F"/>
    <w:rsid w:val="00F00D6A"/>
    <w:rsid w:val="00F050D1"/>
    <w:rsid w:val="00F16896"/>
    <w:rsid w:val="00F22D97"/>
    <w:rsid w:val="00F2572C"/>
    <w:rsid w:val="00F329C3"/>
    <w:rsid w:val="00F34539"/>
    <w:rsid w:val="00F57CE4"/>
    <w:rsid w:val="00F6506A"/>
    <w:rsid w:val="00F70876"/>
    <w:rsid w:val="00F70E1A"/>
    <w:rsid w:val="00F74ED9"/>
    <w:rsid w:val="00F82B93"/>
    <w:rsid w:val="00F82F13"/>
    <w:rsid w:val="00F84F6A"/>
    <w:rsid w:val="00F86DFD"/>
    <w:rsid w:val="00F93781"/>
    <w:rsid w:val="00F9433C"/>
    <w:rsid w:val="00F9473D"/>
    <w:rsid w:val="00F97267"/>
    <w:rsid w:val="00FA5869"/>
    <w:rsid w:val="00FA5FE5"/>
    <w:rsid w:val="00FB06E8"/>
    <w:rsid w:val="00FB23D9"/>
    <w:rsid w:val="00FB4BB4"/>
    <w:rsid w:val="00FB613B"/>
    <w:rsid w:val="00FC68B7"/>
    <w:rsid w:val="00FD081C"/>
    <w:rsid w:val="00FD514E"/>
    <w:rsid w:val="00FD6983"/>
    <w:rsid w:val="00FE0D4A"/>
    <w:rsid w:val="00FE106A"/>
    <w:rsid w:val="00FE536B"/>
    <w:rsid w:val="00FE5CD7"/>
    <w:rsid w:val="00FF0A81"/>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uiPriority w:val="99"/>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uiPriority w:val="99"/>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151CB"/>
    <w:rPr>
      <w:lang w:eastAsia="en-US"/>
    </w:rPr>
  </w:style>
  <w:style w:type="character" w:customStyle="1" w:styleId="FootnoteTextChar">
    <w:name w:val="Footnote Text Char"/>
    <w:aliases w:val="5_G Char"/>
    <w:link w:val="FootnoteText"/>
    <w:uiPriority w:val="99"/>
    <w:locked/>
    <w:rsid w:val="002151CB"/>
    <w:rPr>
      <w:sz w:val="18"/>
      <w:lang w:eastAsia="en-US"/>
    </w:rPr>
  </w:style>
  <w:style w:type="character" w:customStyle="1" w:styleId="H23GChar">
    <w:name w:val="_ H_2/3_G Char"/>
    <w:link w:val="H23G"/>
    <w:rsid w:val="002151CB"/>
    <w:rPr>
      <w:b/>
      <w:lang w:eastAsia="en-US"/>
    </w:rPr>
  </w:style>
  <w:style w:type="paragraph" w:styleId="BalloonText">
    <w:name w:val="Balloon Text"/>
    <w:basedOn w:val="Normal"/>
    <w:link w:val="BalloonTextChar"/>
    <w:rsid w:val="00D0387C"/>
    <w:pPr>
      <w:spacing w:line="240" w:lineRule="auto"/>
    </w:pPr>
    <w:rPr>
      <w:rFonts w:ascii="Tahoma" w:hAnsi="Tahoma" w:cs="Tahoma"/>
      <w:sz w:val="16"/>
      <w:szCs w:val="16"/>
    </w:rPr>
  </w:style>
  <w:style w:type="character" w:customStyle="1" w:styleId="BalloonTextChar">
    <w:name w:val="Balloon Text Char"/>
    <w:link w:val="BalloonText"/>
    <w:rsid w:val="00D0387C"/>
    <w:rPr>
      <w:rFonts w:ascii="Tahoma" w:hAnsi="Tahoma" w:cs="Tahoma"/>
      <w:sz w:val="16"/>
      <w:szCs w:val="16"/>
      <w:lang w:val="en-GB" w:eastAsia="en-US"/>
    </w:rPr>
  </w:style>
  <w:style w:type="character" w:styleId="CommentReference">
    <w:name w:val="annotation reference"/>
    <w:rsid w:val="00CA17A5"/>
    <w:rPr>
      <w:sz w:val="16"/>
      <w:szCs w:val="16"/>
    </w:rPr>
  </w:style>
  <w:style w:type="paragraph" w:styleId="CommentText">
    <w:name w:val="annotation text"/>
    <w:basedOn w:val="Normal"/>
    <w:link w:val="CommentTextChar"/>
    <w:rsid w:val="00CA17A5"/>
  </w:style>
  <w:style w:type="character" w:customStyle="1" w:styleId="CommentTextChar">
    <w:name w:val="Comment Text Char"/>
    <w:link w:val="CommentText"/>
    <w:rsid w:val="00CA17A5"/>
    <w:rPr>
      <w:lang w:val="en-GB" w:eastAsia="en-US"/>
    </w:rPr>
  </w:style>
  <w:style w:type="paragraph" w:styleId="CommentSubject">
    <w:name w:val="annotation subject"/>
    <w:basedOn w:val="CommentText"/>
    <w:next w:val="CommentText"/>
    <w:link w:val="CommentSubjectChar"/>
    <w:rsid w:val="00CA17A5"/>
    <w:rPr>
      <w:b/>
      <w:bCs/>
    </w:rPr>
  </w:style>
  <w:style w:type="character" w:customStyle="1" w:styleId="CommentSubjectChar">
    <w:name w:val="Comment Subject Char"/>
    <w:link w:val="CommentSubject"/>
    <w:rsid w:val="00CA17A5"/>
    <w:rPr>
      <w:b/>
      <w:bCs/>
      <w:lang w:val="en-GB" w:eastAsia="en-US"/>
    </w:rPr>
  </w:style>
  <w:style w:type="paragraph" w:styleId="Revision">
    <w:name w:val="Revision"/>
    <w:hidden/>
    <w:uiPriority w:val="99"/>
    <w:semiHidden/>
    <w:rsid w:val="00D0401A"/>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uiPriority w:val="99"/>
    <w:rsid w:val="00416EAF"/>
    <w:pPr>
      <w:tabs>
        <w:tab w:val="right" w:pos="1021"/>
      </w:tabs>
      <w:spacing w:line="220" w:lineRule="exact"/>
      <w:ind w:left="1134" w:right="1134" w:hanging="1134"/>
    </w:pPr>
    <w:rPr>
      <w:sz w:val="18"/>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uiPriority w:val="99"/>
    <w:rsid w:val="00416EAF"/>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151CB"/>
    <w:rPr>
      <w:lang w:eastAsia="en-US"/>
    </w:rPr>
  </w:style>
  <w:style w:type="character" w:customStyle="1" w:styleId="FootnoteTextChar">
    <w:name w:val="Footnote Text Char"/>
    <w:aliases w:val="5_G Char"/>
    <w:link w:val="FootnoteText"/>
    <w:uiPriority w:val="99"/>
    <w:locked/>
    <w:rsid w:val="002151CB"/>
    <w:rPr>
      <w:sz w:val="18"/>
      <w:lang w:eastAsia="en-US"/>
    </w:rPr>
  </w:style>
  <w:style w:type="character" w:customStyle="1" w:styleId="H23GChar">
    <w:name w:val="_ H_2/3_G Char"/>
    <w:link w:val="H23G"/>
    <w:rsid w:val="002151CB"/>
    <w:rPr>
      <w:b/>
      <w:lang w:eastAsia="en-US"/>
    </w:rPr>
  </w:style>
  <w:style w:type="paragraph" w:styleId="BalloonText">
    <w:name w:val="Balloon Text"/>
    <w:basedOn w:val="Normal"/>
    <w:link w:val="BalloonTextChar"/>
    <w:rsid w:val="00D0387C"/>
    <w:pPr>
      <w:spacing w:line="240" w:lineRule="auto"/>
    </w:pPr>
    <w:rPr>
      <w:rFonts w:ascii="Tahoma" w:hAnsi="Tahoma" w:cs="Tahoma"/>
      <w:sz w:val="16"/>
      <w:szCs w:val="16"/>
    </w:rPr>
  </w:style>
  <w:style w:type="character" w:customStyle="1" w:styleId="BalloonTextChar">
    <w:name w:val="Balloon Text Char"/>
    <w:link w:val="BalloonText"/>
    <w:rsid w:val="00D0387C"/>
    <w:rPr>
      <w:rFonts w:ascii="Tahoma" w:hAnsi="Tahoma" w:cs="Tahoma"/>
      <w:sz w:val="16"/>
      <w:szCs w:val="16"/>
      <w:lang w:val="en-GB" w:eastAsia="en-US"/>
    </w:rPr>
  </w:style>
  <w:style w:type="character" w:styleId="CommentReference">
    <w:name w:val="annotation reference"/>
    <w:rsid w:val="00CA17A5"/>
    <w:rPr>
      <w:sz w:val="16"/>
      <w:szCs w:val="16"/>
    </w:rPr>
  </w:style>
  <w:style w:type="paragraph" w:styleId="CommentText">
    <w:name w:val="annotation text"/>
    <w:basedOn w:val="Normal"/>
    <w:link w:val="CommentTextChar"/>
    <w:rsid w:val="00CA17A5"/>
  </w:style>
  <w:style w:type="character" w:customStyle="1" w:styleId="CommentTextChar">
    <w:name w:val="Comment Text Char"/>
    <w:link w:val="CommentText"/>
    <w:rsid w:val="00CA17A5"/>
    <w:rPr>
      <w:lang w:val="en-GB" w:eastAsia="en-US"/>
    </w:rPr>
  </w:style>
  <w:style w:type="paragraph" w:styleId="CommentSubject">
    <w:name w:val="annotation subject"/>
    <w:basedOn w:val="CommentText"/>
    <w:next w:val="CommentText"/>
    <w:link w:val="CommentSubjectChar"/>
    <w:rsid w:val="00CA17A5"/>
    <w:rPr>
      <w:b/>
      <w:bCs/>
    </w:rPr>
  </w:style>
  <w:style w:type="character" w:customStyle="1" w:styleId="CommentSubjectChar">
    <w:name w:val="Comment Subject Char"/>
    <w:link w:val="CommentSubject"/>
    <w:rsid w:val="00CA17A5"/>
    <w:rPr>
      <w:b/>
      <w:bCs/>
      <w:lang w:val="en-GB" w:eastAsia="en-US"/>
    </w:rPr>
  </w:style>
  <w:style w:type="paragraph" w:styleId="Revision">
    <w:name w:val="Revision"/>
    <w:hidden/>
    <w:uiPriority w:val="99"/>
    <w:semiHidden/>
    <w:rsid w:val="00D0401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ED53-28DC-49CF-9357-BCE26516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1</TotalTime>
  <Pages>11</Pages>
  <Words>5139</Words>
  <Characters>29296</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1508835</vt:lpstr>
      <vt:lpstr/>
    </vt:vector>
  </TitlesOfParts>
  <Company>CSD</Company>
  <LinksUpToDate>false</LinksUpToDate>
  <CharactersWithSpaces>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1508835</dc:title>
  <dc:subject>CAT/C/SRB/CO/2</dc:subject>
  <dc:creator>Corvalan Bounkham</dc:creator>
  <cp:lastModifiedBy>Milena</cp:lastModifiedBy>
  <cp:revision>2</cp:revision>
  <cp:lastPrinted>2015-06-03T14:35:00Z</cp:lastPrinted>
  <dcterms:created xsi:type="dcterms:W3CDTF">2018-03-27T13:05:00Z</dcterms:created>
  <dcterms:modified xsi:type="dcterms:W3CDTF">2018-03-27T13:05:00Z</dcterms:modified>
</cp:coreProperties>
</file>